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Times New Roman" w:hAnsi="Times New Roman" w:cs="Times New Roman" w:asciiTheme="majorBidi" w:cstheme="majorBidi" w:hAnsiTheme="majorBidi"/>
          <w:b/>
          <w:b/>
          <w:bCs/>
          <w:lang w:val="en-GB"/>
        </w:rPr>
      </w:pPr>
      <w:hyperlink r:id="rId2">
        <w:r>
          <w:rPr>
            <w:rStyle w:val="InternetLink"/>
            <w:rFonts w:cs="Times New Roman" w:cstheme="majorBidi"/>
            <w:b/>
            <w:bCs/>
            <w:lang w:val="en-GB"/>
          </w:rPr>
          <w:t>ASA Ethical Guidelines</w:t>
        </w:r>
      </w:hyperlink>
      <w:r>
        <w:rPr>
          <w:rFonts w:cs="Times New Roman" w:cstheme="majorBidi"/>
          <w:b/>
          <w:bCs/>
          <w:lang w:val="en-GB"/>
        </w:rPr>
        <w:t>: Additional Resources</w:t>
      </w:r>
    </w:p>
    <w:p>
      <w:pPr>
        <w:pStyle w:val="Normal"/>
        <w:spacing w:lineRule="auto" w:line="276"/>
        <w:rPr>
          <w:rFonts w:ascii="Times New Roman" w:hAnsi="Times New Roman" w:cs="Times New Roman" w:asciiTheme="majorBidi" w:cstheme="majorBidi" w:hAnsiTheme="majorBidi"/>
          <w:b/>
          <w:b/>
          <w:bCs/>
          <w:lang w:val="en-GB"/>
        </w:rPr>
      </w:pPr>
      <w:r>
        <w:rPr>
          <w:rFonts w:cs="Times New Roman" w:cstheme="majorBidi"/>
          <w:b/>
          <w:bCs/>
          <w:lang w:val="en-GB"/>
        </w:rPr>
      </w:r>
    </w:p>
    <w:p>
      <w:pPr>
        <w:pStyle w:val="Normal"/>
        <w:spacing w:lineRule="auto" w:line="276"/>
        <w:rPr>
          <w:rFonts w:ascii="Times New Roman" w:hAnsi="Times New Roman" w:cs="Times New Roman" w:asciiTheme="majorBidi" w:cstheme="majorBidi" w:hAnsiTheme="majorBidi"/>
          <w:b/>
          <w:b/>
          <w:bCs/>
          <w:lang w:val="en-GB"/>
        </w:rPr>
      </w:pPr>
      <w:r>
        <w:rPr>
          <w:rFonts w:cs="Times New Roman" w:cstheme="majorBidi"/>
          <w:b/>
          <w:bCs/>
          <w:lang w:val="en-GB"/>
        </w:rPr>
        <w:t>(i) Consent and advance consent</w:t>
      </w:r>
    </w:p>
    <w:p>
      <w:pPr>
        <w:pStyle w:val="Normal"/>
        <w:spacing w:lineRule="auto" w:line="276"/>
        <w:rPr>
          <w:rFonts w:ascii="Times New Roman" w:hAnsi="Times New Roman" w:cs="Times New Roman" w:asciiTheme="majorBidi" w:cstheme="majorBidi" w:hAnsiTheme="majorBidi"/>
          <w:lang w:val="en-GB"/>
        </w:rPr>
      </w:pPr>
      <w:r>
        <w:rPr>
          <w:rFonts w:cs="Times New Roman" w:cstheme="majorBidi"/>
          <w:lang w:val="en-GB"/>
        </w:rPr>
        <w:t xml:space="preserve">It has long been recognised that the notion of advance informed consent poses particular problems for social anthropologists (see </w:t>
      </w:r>
      <w:hyperlink r:id="rId3">
        <w:r>
          <w:rPr>
            <w:rStyle w:val="InternetLink"/>
            <w:rFonts w:cs="Times New Roman" w:cstheme="majorBidi"/>
            <w:lang w:val="en-GB"/>
          </w:rPr>
          <w:t>Bell 2014</w:t>
        </w:r>
      </w:hyperlink>
      <w:r>
        <w:rPr>
          <w:rFonts w:cs="Times New Roman" w:cstheme="majorBidi"/>
          <w:lang w:val="en-GB"/>
        </w:rPr>
        <w:t xml:space="preserve"> for an overview of the key literature and debates).  Two primary issues have been identified:</w:t>
      </w:r>
    </w:p>
    <w:p>
      <w:pPr>
        <w:pStyle w:val="ListParagraph"/>
        <w:numPr>
          <w:ilvl w:val="0"/>
          <w:numId w:val="2"/>
        </w:numPr>
        <w:spacing w:lineRule="auto" w:line="276"/>
        <w:rPr>
          <w:rFonts w:ascii="Times New Roman" w:hAnsi="Times New Roman" w:cs="Times New Roman" w:asciiTheme="majorBidi" w:cstheme="majorBidi" w:hAnsiTheme="majorBidi"/>
          <w:lang w:val="en-GB"/>
        </w:rPr>
      </w:pPr>
      <w:r>
        <w:rPr>
          <w:rFonts w:cs="Times New Roman" w:ascii="Times New Roman" w:hAnsi="Times New Roman" w:asciiTheme="majorBidi" w:cstheme="majorBidi" w:hAnsiTheme="majorBidi"/>
          <w:lang w:val="en-GB"/>
        </w:rPr>
        <w:t>The open-ended and long-term nature of ethnographic fieldwork and the impossibility</w:t>
      </w:r>
      <w:r>
        <w:rPr>
          <w:rFonts w:eastAsia="Times New Roman" w:cs="Times New Roman" w:ascii="Times New Roman" w:hAnsi="Times New Roman" w:asciiTheme="majorBidi" w:cstheme="majorBidi" w:hAnsiTheme="majorBidi"/>
          <w:lang w:val="en-GB"/>
        </w:rPr>
        <w:t xml:space="preserve"> of pre-empting the course that it might take. </w:t>
      </w:r>
    </w:p>
    <w:p>
      <w:pPr>
        <w:pStyle w:val="ListParagraph"/>
        <w:numPr>
          <w:ilvl w:val="0"/>
          <w:numId w:val="2"/>
        </w:numPr>
        <w:spacing w:lineRule="auto" w:line="276"/>
        <w:rPr>
          <w:rFonts w:ascii="Times New Roman" w:hAnsi="Times New Roman" w:cs="Times New Roman" w:asciiTheme="majorBidi" w:cstheme="majorBidi" w:hAnsiTheme="majorBidi"/>
          <w:lang w:val="en-GB"/>
        </w:rPr>
      </w:pPr>
      <w:r>
        <w:rPr>
          <w:rFonts w:eastAsia="Times New Roman" w:cs="Times New Roman" w:ascii="Times New Roman" w:hAnsi="Times New Roman" w:asciiTheme="majorBidi" w:cstheme="majorBidi" w:hAnsiTheme="majorBidi"/>
          <w:lang w:val="en-GB"/>
        </w:rPr>
        <w:t>T</w:t>
      </w:r>
      <w:r>
        <w:rPr>
          <w:rFonts w:cs="Times New Roman" w:ascii="Times New Roman" w:hAnsi="Times New Roman" w:asciiTheme="majorBidi" w:cstheme="majorBidi" w:hAnsiTheme="majorBidi"/>
          <w:lang w:val="en-GB"/>
        </w:rPr>
        <w:t xml:space="preserve">he tendency of ethics committees to conflate consent with written consent – which frequently poses problems for anthropologists on both ethical and methodological grounds. </w:t>
      </w:r>
    </w:p>
    <w:p>
      <w:pPr>
        <w:pStyle w:val="Normal"/>
        <w:spacing w:lineRule="auto" w:line="276"/>
        <w:rPr>
          <w:rFonts w:ascii="Times New Roman" w:hAnsi="Times New Roman" w:cs="Times New Roman" w:asciiTheme="majorBidi" w:cstheme="majorBidi" w:hAnsiTheme="majorBidi"/>
          <w:lang w:val="en-GB"/>
        </w:rPr>
      </w:pPr>
      <w:r>
        <w:rPr>
          <w:rFonts w:cs="Times New Roman" w:cstheme="majorBidi"/>
          <w:lang w:val="en-GB"/>
        </w:rPr>
        <w:t xml:space="preserve">The first issue relates primarily to anthropologists’ relationships with their interlocutors and the second issue relates primarily to anthropologists’ relationships with their ethics committees. </w:t>
      </w:r>
    </w:p>
    <w:p>
      <w:pPr>
        <w:pStyle w:val="Normal"/>
        <w:spacing w:lineRule="auto" w:line="276"/>
        <w:rPr>
          <w:rFonts w:ascii="Times New Roman" w:hAnsi="Times New Roman" w:cs="Times New Roman" w:asciiTheme="majorBidi" w:cstheme="majorBidi" w:hAnsiTheme="majorBidi"/>
          <w:lang w:val="en-GB"/>
        </w:rPr>
      </w:pPr>
      <w:r>
        <w:rPr>
          <w:rFonts w:cs="Times New Roman" w:cstheme="majorBidi"/>
          <w:lang w:val="en-GB"/>
        </w:rPr>
      </w:r>
    </w:p>
    <w:p>
      <w:pPr>
        <w:pStyle w:val="Normal"/>
        <w:spacing w:lineRule="auto" w:line="276"/>
        <w:rPr>
          <w:rFonts w:ascii="Times New Roman" w:hAnsi="Times New Roman" w:cs="Times New Roman" w:asciiTheme="majorBidi" w:cstheme="majorBidi" w:hAnsiTheme="majorBidi"/>
          <w:i/>
          <w:i/>
          <w:iCs/>
          <w:lang w:val="en-GB"/>
        </w:rPr>
      </w:pPr>
      <w:r>
        <w:rPr>
          <w:rFonts w:cs="Times New Roman" w:cstheme="majorBidi"/>
          <w:i/>
          <w:iCs/>
          <w:lang w:val="en-GB"/>
        </w:rPr>
        <w:t>Advance consent and ethnographic fieldwork</w:t>
      </w:r>
    </w:p>
    <w:p>
      <w:pPr>
        <w:pStyle w:val="Normal"/>
        <w:spacing w:lineRule="auto" w:line="276"/>
        <w:rPr>
          <w:rFonts w:ascii="Times New Roman" w:hAnsi="Times New Roman" w:cs="Times New Roman" w:asciiTheme="majorBidi" w:cstheme="majorBidi" w:hAnsiTheme="majorBidi"/>
          <w:lang w:val="en-GB"/>
        </w:rPr>
      </w:pPr>
      <w:hyperlink r:id="rId4">
        <w:r>
          <w:rPr>
            <w:rStyle w:val="InternetLink"/>
            <w:rFonts w:cs="Times New Roman" w:cstheme="majorBidi"/>
            <w:lang w:val="en-GB"/>
          </w:rPr>
          <w:t>Lederman (2006: 485</w:t>
        </w:r>
      </w:hyperlink>
      <w:r>
        <w:rPr>
          <w:rFonts w:cs="Times New Roman" w:cstheme="majorBidi"/>
          <w:lang w:val="en-GB"/>
        </w:rPr>
        <w:t xml:space="preserve">) has highlighted the ‘systematic openness to contingency’ and ‘disciplined relinquishment of control’ that characterises ethnographic research, wherein ethnographers are neither in a position to demarcate their research spaces nor their social identities. The nature of ethnographic fieldwork thus poses problems in obtaining ‘informed’ consent as conceptualised in prevailing research ethics frameworks. </w:t>
      </w:r>
    </w:p>
    <w:p>
      <w:pPr>
        <w:pStyle w:val="Normal"/>
        <w:spacing w:lineRule="auto" w:line="276"/>
        <w:rPr>
          <w:rFonts w:ascii="Times New Roman" w:hAnsi="Times New Roman" w:cs="Times New Roman" w:asciiTheme="majorBidi" w:cstheme="majorBidi" w:hAnsiTheme="majorBidi"/>
          <w:lang w:val="en-GB"/>
        </w:rPr>
      </w:pPr>
      <w:r>
        <w:rPr>
          <w:rFonts w:cs="Times New Roman" w:cstheme="majorBidi"/>
          <w:lang w:val="en-GB"/>
        </w:rPr>
      </w:r>
    </w:p>
    <w:p>
      <w:pPr>
        <w:pStyle w:val="Normal"/>
        <w:spacing w:lineRule="auto" w:line="276"/>
        <w:rPr>
          <w:rFonts w:ascii="Times New Roman" w:hAnsi="Times New Roman" w:cs="Times New Roman" w:asciiTheme="majorBidi" w:cstheme="majorBidi" w:hAnsiTheme="majorBidi"/>
          <w:lang w:val="en-GB"/>
        </w:rPr>
      </w:pPr>
      <w:r>
        <w:rPr>
          <w:rFonts w:cs="Times New Roman" w:cstheme="majorBidi"/>
          <w:lang w:val="en-GB"/>
        </w:rPr>
        <w:t xml:space="preserve">Anthropologists recognise that consent is an ongoing process that must be negotiated throughout our fieldwork, rather than a one-off transaction at the outset of a research project. However, ethical issues can arise as a result of the gap between how anthropologists and their interlocutors understand the nature of the fieldwork and the written portrayals that result (see also ‘Relations with, and responsibilities towards, research participants’). While literature on the politics of representation needs little introduction here, anthropologists interested in exploring issues of consent in relation to questions of representation may find the following case studies useful:  </w:t>
      </w:r>
    </w:p>
    <w:p>
      <w:pPr>
        <w:pStyle w:val="ListParagraph"/>
        <w:numPr>
          <w:ilvl w:val="0"/>
          <w:numId w:val="1"/>
        </w:numPr>
        <w:spacing w:lineRule="auto" w:line="276"/>
        <w:rPr>
          <w:rFonts w:ascii="Times New Roman" w:hAnsi="Times New Roman" w:cs="Times New Roman" w:asciiTheme="majorBidi" w:cstheme="majorBidi" w:hAnsiTheme="majorBidi"/>
          <w:lang w:val="en-GB"/>
        </w:rPr>
      </w:pPr>
      <w:hyperlink r:id="rId5">
        <w:r>
          <w:rPr>
            <w:rStyle w:val="InternetLink"/>
            <w:rFonts w:eastAsia="Times New Roman" w:cs="Times New Roman" w:ascii="Times New Roman" w:hAnsi="Times New Roman" w:asciiTheme="majorBidi" w:cstheme="majorBidi" w:hAnsiTheme="majorBidi"/>
            <w:lang w:val="en-GB"/>
          </w:rPr>
          <w:t xml:space="preserve">Nancy Scheper Hughes </w:t>
        </w:r>
      </w:hyperlink>
      <w:r>
        <w:rPr>
          <w:rFonts w:cs="Times New Roman" w:ascii="Times New Roman" w:hAnsi="Times New Roman" w:asciiTheme="majorBidi" w:cstheme="majorBidi" w:hAnsiTheme="majorBidi"/>
          <w:lang w:val="en-GB"/>
        </w:rPr>
        <w:t xml:space="preserve">on the community’s response to her fieldwork on mental illness in Ireland; </w:t>
      </w:r>
    </w:p>
    <w:p>
      <w:pPr>
        <w:pStyle w:val="ListParagraph"/>
        <w:numPr>
          <w:ilvl w:val="0"/>
          <w:numId w:val="1"/>
        </w:numPr>
        <w:spacing w:lineRule="auto" w:line="276"/>
        <w:rPr>
          <w:rFonts w:ascii="Times New Roman" w:hAnsi="Times New Roman" w:eastAsia="Times New Roman" w:cs="Times New Roman" w:asciiTheme="majorBidi" w:cstheme="majorBidi" w:hAnsiTheme="majorBidi"/>
          <w:lang w:val="en-GB"/>
        </w:rPr>
      </w:pPr>
      <w:hyperlink r:id="rId6">
        <w:r>
          <w:rPr>
            <w:rStyle w:val="InternetLink"/>
            <w:rFonts w:eastAsia="Times New Roman" w:cs="Times New Roman" w:ascii="Times New Roman" w:hAnsi="Times New Roman" w:asciiTheme="majorBidi" w:cstheme="majorBidi" w:hAnsiTheme="majorBidi"/>
            <w:lang w:val="en-GB"/>
          </w:rPr>
          <w:t>Charles Bosk</w:t>
        </w:r>
      </w:hyperlink>
      <w:r>
        <w:rPr>
          <w:rFonts w:eastAsia="Times New Roman" w:cs="Times New Roman" w:ascii="Times New Roman" w:hAnsi="Times New Roman" w:asciiTheme="majorBidi" w:cstheme="majorBidi" w:hAnsiTheme="majorBidi"/>
          <w:lang w:val="en-GB"/>
        </w:rPr>
        <w:t xml:space="preserve"> on conducting ethnographic fieldwork in hospital settings;</w:t>
      </w:r>
    </w:p>
    <w:p>
      <w:pPr>
        <w:pStyle w:val="ListParagraph"/>
        <w:numPr>
          <w:ilvl w:val="0"/>
          <w:numId w:val="1"/>
        </w:numPr>
        <w:spacing w:lineRule="auto" w:line="276"/>
        <w:rPr>
          <w:rFonts w:ascii="Times New Roman" w:hAnsi="Times New Roman" w:eastAsia="Times New Roman" w:cs="Times New Roman" w:asciiTheme="majorBidi" w:cstheme="majorBidi" w:hAnsiTheme="majorBidi"/>
          <w:lang w:val="en-GB"/>
        </w:rPr>
      </w:pPr>
      <w:hyperlink r:id="rId7">
        <w:r>
          <w:rPr>
            <w:rStyle w:val="InternetLink"/>
            <w:rFonts w:eastAsia="Times New Roman" w:cs="Times New Roman" w:ascii="Times New Roman" w:hAnsi="Times New Roman" w:asciiTheme="majorBidi" w:cstheme="majorBidi" w:hAnsiTheme="majorBidi"/>
            <w:lang w:val="en-GB"/>
          </w:rPr>
          <w:t>Joyce O’Connell Davidson</w:t>
        </w:r>
      </w:hyperlink>
      <w:r>
        <w:rPr>
          <w:rFonts w:eastAsia="Times New Roman" w:cs="Times New Roman" w:ascii="Times New Roman" w:hAnsi="Times New Roman" w:asciiTheme="majorBidi" w:cstheme="majorBidi" w:hAnsiTheme="majorBidi"/>
          <w:lang w:val="en-GB"/>
        </w:rPr>
        <w:t xml:space="preserve"> on conducting fieldwork with Desiree, a British sex worker;</w:t>
      </w:r>
    </w:p>
    <w:p>
      <w:pPr>
        <w:pStyle w:val="ListParagraph"/>
        <w:numPr>
          <w:ilvl w:val="0"/>
          <w:numId w:val="1"/>
        </w:numPr>
        <w:spacing w:lineRule="auto" w:line="276"/>
        <w:rPr>
          <w:rFonts w:ascii="Times New Roman" w:hAnsi="Times New Roman" w:eastAsia="Times New Roman" w:cs="Times New Roman" w:asciiTheme="majorBidi" w:cstheme="majorBidi" w:hAnsiTheme="majorBidi"/>
          <w:lang w:val="en-GB"/>
        </w:rPr>
      </w:pPr>
      <w:hyperlink r:id="rId8">
        <w:r>
          <w:rPr>
            <w:rStyle w:val="InternetLink"/>
            <w:rFonts w:eastAsia="Times New Roman" w:cs="Times New Roman" w:ascii="Times New Roman" w:hAnsi="Times New Roman" w:asciiTheme="majorBidi" w:cstheme="majorBidi" w:hAnsiTheme="majorBidi"/>
            <w:lang w:val="en-GB"/>
          </w:rPr>
          <w:t>Nancy Plankey-Videla</w:t>
        </w:r>
      </w:hyperlink>
      <w:r>
        <w:rPr>
          <w:rFonts w:eastAsia="Times New Roman" w:cs="Times New Roman" w:ascii="Times New Roman" w:hAnsi="Times New Roman" w:asciiTheme="majorBidi" w:cstheme="majorBidi" w:hAnsiTheme="majorBidi"/>
          <w:lang w:val="en-GB"/>
        </w:rPr>
        <w:t xml:space="preserve"> on ‘studying up’ in a Mexican garment factory.</w:t>
      </w:r>
    </w:p>
    <w:p>
      <w:pPr>
        <w:pStyle w:val="Normal"/>
        <w:spacing w:lineRule="auto" w:line="276"/>
        <w:rPr>
          <w:rFonts w:ascii="Times New Roman" w:hAnsi="Times New Roman" w:cs="Times New Roman" w:asciiTheme="majorBidi" w:cstheme="majorBidi" w:hAnsiTheme="majorBidi"/>
          <w:lang w:val="en-GB"/>
        </w:rPr>
      </w:pPr>
      <w:r>
        <w:rPr>
          <w:rFonts w:cs="Times New Roman" w:cstheme="majorBidi"/>
          <w:lang w:val="en-GB"/>
        </w:rPr>
        <w:t xml:space="preserve">The ethnographers in question come to difficult conclusions regarding how these dilemmas around consent can be addressed, but all suggest the need for ongoing ethical reflection throughout the fieldwork itself, as well as during the process of writing.   </w:t>
      </w:r>
    </w:p>
    <w:p>
      <w:pPr>
        <w:pStyle w:val="Normal"/>
        <w:spacing w:lineRule="auto" w:line="276"/>
        <w:rPr>
          <w:rFonts w:ascii="Times New Roman" w:hAnsi="Times New Roman" w:cs="Times New Roman" w:asciiTheme="majorBidi" w:cstheme="majorBidi" w:hAnsiTheme="majorBidi"/>
          <w:lang w:val="en-GB"/>
        </w:rPr>
      </w:pPr>
      <w:r>
        <w:rPr>
          <w:rFonts w:cs="Times New Roman" w:cstheme="majorBidi"/>
          <w:lang w:val="en-GB"/>
        </w:rPr>
      </w:r>
    </w:p>
    <w:p>
      <w:pPr>
        <w:pStyle w:val="Normal"/>
        <w:spacing w:lineRule="auto" w:line="276"/>
        <w:rPr>
          <w:rFonts w:ascii="Times New Roman" w:hAnsi="Times New Roman" w:cs="Times New Roman" w:asciiTheme="majorBidi" w:cstheme="majorBidi" w:hAnsiTheme="majorBidi"/>
          <w:color w:val="000000"/>
          <w:lang w:val="en-GB"/>
        </w:rPr>
      </w:pPr>
      <w:r>
        <w:rPr>
          <w:rFonts w:cs="Times New Roman" w:cstheme="majorBidi"/>
          <w:lang w:val="en-GB"/>
        </w:rPr>
        <w:t>As noted in the guidelines, one area where concerns about consent frequently arise pertains to events where the anthropologist is unknown to participants. Although ethical sensitivity is clearly required in such contexts, anthropologists are frequently told by ethics committees that it is impossible to write about such events without the consent of all those involved, effectively precluding the study of important phenomena where obtaining such consent is unfeasible. E</w:t>
      </w:r>
      <w:r>
        <w:rPr>
          <w:rFonts w:cs="Times New Roman" w:cstheme="majorBidi"/>
          <w:color w:val="000000"/>
          <w:lang w:val="en-GB"/>
        </w:rPr>
        <w:t xml:space="preserve">thical guidelines that anthropologists may find useful in considering how to attend to these issues – both in their own fieldwork and in their interactions with their ethics committee – are the Canadian national research ethics guidelines (the </w:t>
      </w:r>
      <w:hyperlink r:id="rId9">
        <w:r>
          <w:rPr>
            <w:rStyle w:val="InternetLink"/>
            <w:rFonts w:cs="Times New Roman" w:cstheme="majorBidi"/>
            <w:i/>
            <w:iCs/>
            <w:lang w:val="en-GB"/>
          </w:rPr>
          <w:t>Tri-Council Policy Statement: Ethical Conduct for Research Involving Human</w:t>
        </w:r>
        <w:r>
          <w:rPr>
            <w:rStyle w:val="InternetLink"/>
            <w:rFonts w:cs="Times New Roman" w:cstheme="majorBidi"/>
            <w:lang w:val="en-GB"/>
          </w:rPr>
          <w:t>s</w:t>
        </w:r>
      </w:hyperlink>
      <w:r>
        <w:rPr>
          <w:rFonts w:cs="Times New Roman" w:cstheme="majorBidi"/>
          <w:color w:val="000000"/>
          <w:lang w:val="en-GB"/>
        </w:rPr>
        <w:t xml:space="preserve">). </w:t>
      </w:r>
    </w:p>
    <w:p>
      <w:pPr>
        <w:pStyle w:val="Normal"/>
        <w:spacing w:lineRule="auto" w:line="276"/>
        <w:rPr>
          <w:rFonts w:ascii="Times New Roman" w:hAnsi="Times New Roman" w:cs="Times New Roman" w:asciiTheme="majorBidi" w:cstheme="majorBidi" w:hAnsiTheme="majorBidi"/>
          <w:color w:val="000000"/>
          <w:lang w:val="en-GB"/>
        </w:rPr>
      </w:pPr>
      <w:r>
        <w:rPr>
          <w:rFonts w:cs="Times New Roman" w:cstheme="majorBidi"/>
          <w:color w:val="000000"/>
          <w:lang w:val="en-GB"/>
        </w:rPr>
      </w:r>
    </w:p>
    <w:p>
      <w:pPr>
        <w:pStyle w:val="Normal"/>
        <w:spacing w:lineRule="auto" w:line="276"/>
        <w:rPr>
          <w:rFonts w:ascii="Times New Roman" w:hAnsi="Times New Roman" w:cs="Times New Roman" w:asciiTheme="majorBidi" w:cstheme="majorBidi" w:hAnsiTheme="majorBidi"/>
          <w:color w:val="000000" w:themeColor="text1"/>
          <w:lang w:val="en-GB"/>
        </w:rPr>
      </w:pPr>
      <w:r>
        <w:rPr>
          <w:rFonts w:cs="Times New Roman" w:cstheme="majorBidi"/>
          <w:color w:val="000000" w:themeColor="text1"/>
          <w:lang w:val="en-GB"/>
        </w:rPr>
        <w:t xml:space="preserve">These guidelines specifically address the topic of consent in the context of qualitative observational studies (see </w:t>
      </w:r>
      <w:r>
        <w:fldChar w:fldCharType="begin"/>
      </w:r>
      <w:r>
        <w:rPr>
          <w:rStyle w:val="InternetLink"/>
          <w:rFonts w:cs="Times New Roman"/>
          <w:color w:val="000000"/>
          <w:lang w:val="en-GB"/>
        </w:rPr>
        <w:instrText> HYPERLINK "https://ethics.gc.ca/eng/tcps2-eptc2_2018_chapter2-chapitre2.html" \l "a"</w:instrText>
      </w:r>
      <w:r>
        <w:rPr>
          <w:rStyle w:val="InternetLink"/>
          <w:rFonts w:cs="Times New Roman"/>
          <w:color w:val="000000"/>
          <w:lang w:val="en-GB"/>
        </w:rPr>
        <w:fldChar w:fldCharType="separate"/>
      </w:r>
      <w:r>
        <w:rPr>
          <w:rStyle w:val="InternetLink"/>
          <w:rFonts w:cs="Times New Roman" w:cstheme="majorBidi"/>
          <w:color w:val="000000" w:themeColor="text1"/>
          <w:lang w:val="en-GB"/>
        </w:rPr>
        <w:t>Article 2.3</w:t>
      </w:r>
      <w:r>
        <w:rPr>
          <w:rStyle w:val="InternetLink"/>
          <w:rFonts w:cs="Times New Roman"/>
          <w:color w:val="000000"/>
          <w:lang w:val="en-GB"/>
        </w:rPr>
        <w:fldChar w:fldCharType="end"/>
      </w:r>
      <w:r>
        <w:rPr>
          <w:rFonts w:cs="Times New Roman" w:cstheme="majorBidi"/>
          <w:color w:val="000000" w:themeColor="text1"/>
          <w:lang w:val="en-GB"/>
        </w:rPr>
        <w:t xml:space="preserve"> and </w:t>
      </w:r>
      <w:hyperlink r:id="rId10">
        <w:r>
          <w:rPr>
            <w:rStyle w:val="InternetLink"/>
            <w:rFonts w:cs="Times New Roman" w:cstheme="majorBidi"/>
            <w:color w:val="000000" w:themeColor="text1"/>
            <w:lang w:val="en-GB"/>
          </w:rPr>
          <w:t>Article 10.3</w:t>
        </w:r>
      </w:hyperlink>
      <w:r>
        <w:rPr>
          <w:rFonts w:cs="Times New Roman" w:cstheme="majorBidi"/>
          <w:color w:val="000000" w:themeColor="text1"/>
          <w:lang w:val="en-GB"/>
        </w:rPr>
        <w:t>) and provide an ethical framework for considering when and where it is appropriate and/or unnecessary. According to the guidelines, ‘</w:t>
      </w:r>
      <w:r>
        <w:rPr>
          <w:rFonts w:cs="Times New Roman" w:cstheme="majorBidi"/>
          <w:color w:val="000000" w:themeColor="text1"/>
          <w:shd w:fill="FFFFFF" w:val="clear"/>
          <w:lang w:val="en-GB"/>
        </w:rPr>
        <w:t xml:space="preserve">the nature of the activities to be observed, the environment in which the activities are to be observed, whether the activities are staged for the purpose of the research, the expectations of privacy that prospective participants might have, the means of recording the observations, whether the research records or published reports involve identification of the participants’ should determine whether individual consent is sought. However, in making such considerations, anthropologists should clearly be guided by </w:t>
      </w:r>
      <w:r>
        <w:rPr>
          <w:rFonts w:cs="Times New Roman" w:cstheme="majorBidi"/>
          <w:i/>
          <w:iCs/>
          <w:color w:val="000000" w:themeColor="text1"/>
          <w:shd w:fill="FFFFFF" w:val="clear"/>
          <w:lang w:val="en-GB"/>
        </w:rPr>
        <w:t>emic</w:t>
      </w:r>
      <w:r>
        <w:rPr>
          <w:rFonts w:cs="Times New Roman" w:cstheme="majorBidi"/>
          <w:color w:val="000000" w:themeColor="text1"/>
          <w:shd w:fill="FFFFFF" w:val="clear"/>
          <w:lang w:val="en-GB"/>
        </w:rPr>
        <w:t xml:space="preserve"> rather than </w:t>
      </w:r>
      <w:r>
        <w:rPr>
          <w:rFonts w:cs="Times New Roman" w:cstheme="majorBidi"/>
          <w:i/>
          <w:iCs/>
          <w:color w:val="000000" w:themeColor="text1"/>
          <w:shd w:fill="FFFFFF" w:val="clear"/>
          <w:lang w:val="en-GB"/>
        </w:rPr>
        <w:t>etic</w:t>
      </w:r>
      <w:r>
        <w:rPr>
          <w:rFonts w:cs="Times New Roman" w:cstheme="majorBidi"/>
          <w:color w:val="000000" w:themeColor="text1"/>
          <w:shd w:fill="FFFFFF" w:val="clear"/>
          <w:lang w:val="en-GB"/>
        </w:rPr>
        <w:t xml:space="preserve"> definitions of privacy, public space, etc. </w:t>
      </w:r>
    </w:p>
    <w:p>
      <w:pPr>
        <w:pStyle w:val="Normal"/>
        <w:spacing w:lineRule="auto" w:line="276"/>
        <w:rPr>
          <w:rFonts w:ascii="Times New Roman" w:hAnsi="Times New Roman" w:cs="Times New Roman" w:asciiTheme="majorBidi" w:cstheme="majorBidi" w:hAnsiTheme="majorBidi"/>
          <w:b/>
          <w:b/>
          <w:bCs/>
          <w:lang w:val="en-GB"/>
        </w:rPr>
      </w:pPr>
      <w:r>
        <w:rPr>
          <w:rFonts w:cs="Times New Roman" w:cstheme="majorBidi"/>
          <w:b/>
          <w:bCs/>
          <w:lang w:val="en-GB"/>
        </w:rPr>
      </w:r>
    </w:p>
    <w:p>
      <w:pPr>
        <w:pStyle w:val="Normal"/>
        <w:spacing w:lineRule="auto" w:line="276"/>
        <w:rPr>
          <w:rFonts w:ascii="Times New Roman" w:hAnsi="Times New Roman" w:cs="Times New Roman" w:asciiTheme="majorBidi" w:cstheme="majorBidi" w:hAnsiTheme="majorBidi"/>
          <w:i/>
          <w:i/>
          <w:iCs/>
          <w:lang w:val="en-GB"/>
        </w:rPr>
      </w:pPr>
      <w:r>
        <w:rPr>
          <w:rFonts w:cs="Times New Roman" w:cstheme="majorBidi"/>
          <w:i/>
          <w:iCs/>
          <w:lang w:val="en-GB"/>
        </w:rPr>
        <w:t>Written vs. oral consent</w:t>
      </w:r>
    </w:p>
    <w:p>
      <w:pPr>
        <w:pStyle w:val="Normal"/>
        <w:spacing w:lineRule="auto" w:line="276"/>
        <w:rPr>
          <w:rFonts w:ascii="Times New Roman" w:hAnsi="Times New Roman" w:cs="Times New Roman" w:asciiTheme="majorBidi" w:cstheme="majorBidi" w:hAnsiTheme="majorBidi"/>
          <w:color w:val="1C1D1E"/>
          <w:shd w:fill="FFFFFF" w:val="clear"/>
          <w:lang w:val="en-GB"/>
        </w:rPr>
      </w:pPr>
      <w:r>
        <w:rPr>
          <w:rFonts w:cs="Times New Roman" w:cstheme="majorBidi"/>
          <w:lang w:val="en-GB"/>
        </w:rPr>
        <w:t xml:space="preserve">The requirement for written consent is an area where anthropologists have long struggled with their ethics committees. As </w:t>
      </w:r>
      <w:hyperlink r:id="rId11">
        <w:r>
          <w:rPr>
            <w:rStyle w:val="InternetLink"/>
            <w:rFonts w:cs="Times New Roman" w:cstheme="majorBidi"/>
            <w:lang w:val="en-GB"/>
          </w:rPr>
          <w:t>Wynn and Israel (2018: 804)</w:t>
        </w:r>
      </w:hyperlink>
      <w:r>
        <w:rPr>
          <w:rFonts w:cs="Times New Roman" w:cstheme="majorBidi"/>
          <w:lang w:val="en-GB"/>
        </w:rPr>
        <w:t xml:space="preserve"> observe in their discussion of the fetishization of written consent and the problems it poses for anthropologists, ‘</w:t>
      </w:r>
      <w:r>
        <w:rPr>
          <w:rFonts w:cs="Times New Roman" w:cstheme="majorBidi"/>
          <w:color w:val="1C1D1E"/>
          <w:shd w:fill="FFFFFF" w:val="clear"/>
          <w:lang w:val="en-GB"/>
        </w:rPr>
        <w:t>What is truly remarkable about the written, signed consent form is the fact that it persists as the standard in many ethics bureaucracies despite the ample evidence that signed consent neither documents nor materializes ethical research relationships’.</w:t>
      </w:r>
    </w:p>
    <w:p>
      <w:pPr>
        <w:pStyle w:val="Normal"/>
        <w:spacing w:lineRule="auto" w:line="276"/>
        <w:rPr>
          <w:rFonts w:ascii="Times New Roman" w:hAnsi="Times New Roman" w:cs="Times New Roman" w:asciiTheme="majorBidi" w:cstheme="majorBidi" w:hAnsiTheme="majorBidi"/>
          <w:color w:val="1C1D1E"/>
          <w:shd w:fill="FFFFFF" w:val="clear"/>
          <w:lang w:val="en-GB"/>
        </w:rPr>
      </w:pPr>
      <w:r>
        <w:rPr>
          <w:rFonts w:cs="Times New Roman" w:cstheme="majorBidi"/>
          <w:color w:val="1C1D1E"/>
          <w:shd w:fill="FFFFFF" w:val="clear"/>
          <w:lang w:val="en-GB"/>
        </w:rPr>
      </w:r>
    </w:p>
    <w:p>
      <w:pPr>
        <w:pStyle w:val="Normal"/>
        <w:spacing w:lineRule="auto" w:line="276"/>
        <w:rPr>
          <w:rFonts w:ascii="Times New Roman" w:hAnsi="Times New Roman" w:cs="Times New Roman" w:asciiTheme="majorBidi" w:cstheme="majorBidi" w:hAnsiTheme="majorBidi"/>
          <w:color w:val="000000" w:themeColor="text1"/>
          <w:lang w:val="en-GB"/>
        </w:rPr>
      </w:pPr>
      <w:r>
        <w:rPr>
          <w:rFonts w:cs="Times New Roman" w:cstheme="majorBidi"/>
          <w:color w:val="1C1D1E"/>
          <w:shd w:fill="FFFFFF" w:val="clear"/>
          <w:lang w:val="en-GB"/>
        </w:rPr>
        <w:t xml:space="preserve">Although there are certain research settings where written consent may be required for reasons of </w:t>
      </w:r>
      <w:r>
        <w:rPr>
          <w:rFonts w:cs="Times New Roman" w:cstheme="majorBidi"/>
          <w:color w:val="000000" w:themeColor="text1"/>
          <w:shd w:fill="FFFFFF" w:val="clear"/>
          <w:lang w:val="en-GB"/>
        </w:rPr>
        <w:t xml:space="preserve">law or access, </w:t>
      </w:r>
      <w:r>
        <w:rPr>
          <w:rFonts w:cs="Times New Roman" w:cstheme="majorBidi"/>
          <w:color w:val="000000" w:themeColor="text1"/>
          <w:lang w:val="en-GB"/>
        </w:rPr>
        <w:t xml:space="preserve">many anthropologists have successfully challenged ethics committees’ requirements for written consent on both ethical and methodological grounds. Those seeking justification for oral consent might find it useful to refer to </w:t>
      </w:r>
      <w:hyperlink r:id="rId12">
        <w:r>
          <w:rPr>
            <w:rStyle w:val="InternetLink"/>
            <w:rFonts w:cs="Times New Roman" w:cstheme="majorBidi"/>
            <w:color w:val="000000" w:themeColor="text1"/>
            <w:lang w:val="en-GB"/>
          </w:rPr>
          <w:t>de Koning et al. (2019</w:t>
        </w:r>
      </w:hyperlink>
      <w:r>
        <w:rPr>
          <w:rFonts w:cs="Times New Roman" w:cstheme="majorBidi"/>
          <w:color w:val="000000" w:themeColor="text1"/>
          <w:lang w:val="en-GB"/>
        </w:rPr>
        <w:t>), who have recently argued the following:</w:t>
      </w:r>
    </w:p>
    <w:p>
      <w:pPr>
        <w:pStyle w:val="Normal"/>
        <w:spacing w:lineRule="auto" w:line="276"/>
        <w:ind w:left="720" w:hanging="0"/>
        <w:rPr>
          <w:rFonts w:ascii="Times New Roman" w:hAnsi="Times New Roman" w:cs="Times New Roman" w:asciiTheme="majorBidi" w:cstheme="majorBidi" w:hAnsiTheme="majorBidi"/>
          <w:color w:val="000000" w:themeColor="text1"/>
          <w:lang w:val="en-GB"/>
        </w:rPr>
      </w:pPr>
      <w:r>
        <w:rPr>
          <w:rFonts w:cs="Times New Roman" w:cstheme="majorBidi"/>
          <w:color w:val="000000" w:themeColor="text1"/>
          <w:shd w:fill="FFFFFF" w:val="clear"/>
          <w:lang w:val="en-GB"/>
        </w:rPr>
        <w:t>Anthropologists regard written informed consent as potentially deceptive. Because relations with interlocutors change in the course of research, for instance under the influence of changing political circumstances, this transfer of knowledge is never fully concluded. We consider it legitimate and often advisable to work with oral forms of consent, since written consent forms may impact negatively on interlocutors’ privacy, safety, and possession of knowledge.</w:t>
      </w:r>
    </w:p>
    <w:p>
      <w:pPr>
        <w:pStyle w:val="Normal"/>
        <w:spacing w:lineRule="auto" w:line="276"/>
        <w:rPr>
          <w:rFonts w:ascii="Times New Roman" w:hAnsi="Times New Roman" w:cs="Times New Roman" w:asciiTheme="majorBidi" w:cstheme="majorBidi" w:hAnsiTheme="majorBidi"/>
          <w:lang w:val="en-GB"/>
        </w:rPr>
      </w:pPr>
      <w:r>
        <w:rPr>
          <w:rFonts w:cs="Times New Roman" w:cstheme="majorBidi"/>
          <w:lang w:val="en-GB"/>
        </w:rPr>
      </w:r>
    </w:p>
    <w:p>
      <w:pPr>
        <w:pStyle w:val="Normal"/>
        <w:spacing w:lineRule="auto" w:line="276"/>
        <w:rPr>
          <w:rFonts w:ascii="Times New Roman" w:hAnsi="Times New Roman" w:cs="Times New Roman" w:asciiTheme="majorBidi" w:cstheme="majorBidi" w:hAnsiTheme="majorBidi"/>
          <w:lang w:val="en-GB"/>
        </w:rPr>
      </w:pPr>
      <w:r>
        <w:rPr>
          <w:rFonts w:cs="Times New Roman" w:cstheme="majorBidi"/>
          <w:lang w:val="en-GB"/>
        </w:rPr>
        <w:t xml:space="preserve">Another document that might be helpful in engaging with ethics committees around this topic is the Canadian research ethics guidelines. A benefit of this document is that it is intended primarily for ethics committees, and it acknowledges that written consent is not the only ethically acceptable means of obtaining consent in a variety of research settings. According to </w:t>
      </w:r>
      <w:r>
        <w:fldChar w:fldCharType="begin"/>
      </w:r>
      <w:r>
        <w:rPr>
          <w:rStyle w:val="InternetLink"/>
          <w:rFonts w:cs="Times New Roman"/>
          <w:lang w:val="en-GB"/>
        </w:rPr>
        <w:instrText> HYPERLINK "https://ethics.gc.ca/eng/tcps2-eptc2_2018_chapter3-chapitre3.html" \l "a"</w:instrText>
      </w:r>
      <w:r>
        <w:rPr>
          <w:rStyle w:val="InternetLink"/>
          <w:rFonts w:cs="Times New Roman"/>
          <w:lang w:val="en-GB"/>
        </w:rPr>
        <w:fldChar w:fldCharType="separate"/>
      </w:r>
      <w:r>
        <w:rPr>
          <w:rStyle w:val="InternetLink"/>
          <w:rFonts w:cs="Times New Roman" w:cstheme="majorBidi"/>
          <w:lang w:val="en-GB"/>
        </w:rPr>
        <w:t>Article 3.12</w:t>
      </w:r>
      <w:r>
        <w:rPr>
          <w:rStyle w:val="InternetLink"/>
          <w:rFonts w:cs="Times New Roman"/>
          <w:lang w:val="en-GB"/>
        </w:rPr>
        <w:fldChar w:fldCharType="end"/>
      </w:r>
      <w:r>
        <w:rPr>
          <w:rFonts w:cs="Times New Roman" w:cstheme="majorBidi"/>
          <w:lang w:val="en-GB"/>
        </w:rPr>
        <w:t>:</w:t>
      </w:r>
    </w:p>
    <w:p>
      <w:pPr>
        <w:pStyle w:val="NormalWeb"/>
        <w:shd w:val="clear" w:color="auto" w:fill="FFFFFF"/>
        <w:spacing w:lineRule="auto" w:line="276" w:beforeAutospacing="0" w:before="0" w:afterAutospacing="0" w:after="173"/>
        <w:ind w:left="720" w:hanging="0"/>
        <w:rPr>
          <w:rFonts w:ascii="Times New Roman" w:hAnsi="Times New Roman" w:cs="Times New Roman" w:asciiTheme="majorBidi" w:cstheme="majorBidi" w:hAnsiTheme="majorBidi"/>
          <w:color w:val="000000" w:themeColor="text1"/>
          <w:lang w:val="en-GB"/>
        </w:rPr>
      </w:pPr>
      <w:r>
        <w:rPr>
          <w:rFonts w:cs="Times New Roman" w:cstheme="majorBidi"/>
          <w:color w:val="000000" w:themeColor="text1"/>
          <w:lang w:val="en-GB"/>
        </w:rPr>
        <w:t>Written consent in a signed statement from the participant is a common means of demonstrating consent, and in some instances, is mandatory. However, there are other means of providing consent that are equally ethically acceptable. In some types of research, and for some groups or individuals, written signed consent may be perceived as an attempt to legalize or formalize the consent process and therefore may be interpreted by the participant as a lack of trust on the part of the researcher. In these cases, oral consent, a verbal agreement or a handshake may be required, rather than signing a consent form. In some cultures, the exchange of gifts symbolizes the establishment of a relationship comparable to consent.</w:t>
      </w:r>
    </w:p>
    <w:p>
      <w:pPr>
        <w:pStyle w:val="Normal"/>
        <w:spacing w:lineRule="auto" w:line="276"/>
        <w:rPr>
          <w:rFonts w:ascii="Times New Roman" w:hAnsi="Times New Roman" w:cs="Times New Roman" w:asciiTheme="majorBidi" w:cstheme="majorBidi" w:hAnsiTheme="majorBidi"/>
          <w:b/>
          <w:b/>
          <w:bCs/>
        </w:rPr>
      </w:pPr>
      <w:r>
        <w:rPr>
          <w:rFonts w:cs="Times New Roman" w:cstheme="majorBidi"/>
          <w:b/>
          <w:bCs/>
        </w:rPr>
        <w:t>(ii) Working with non-human participants</w:t>
      </w:r>
    </w:p>
    <w:p>
      <w:pPr>
        <w:pStyle w:val="Normal"/>
        <w:spacing w:lineRule="auto" w:line="276"/>
        <w:rPr>
          <w:rFonts w:ascii="Times New Roman" w:hAnsi="Times New Roman" w:cs="Times New Roman" w:asciiTheme="majorBidi" w:cstheme="majorBidi" w:hAnsiTheme="majorBidi"/>
        </w:rPr>
      </w:pPr>
      <w:r>
        <w:rPr>
          <w:rFonts w:cs="Times New Roman" w:cstheme="majorBidi"/>
        </w:rPr>
        <w:t xml:space="preserve">It is unlikely that social anthropologists would become directly involved (as a directly active participant) in intrusive experimentation with animals/testing involving animals. However, should they do so then they will need to comply with animal relevant national legal requirements relating to such experimentation. In the UK this would be the  </w:t>
      </w:r>
      <w:r>
        <w:rPr>
          <w:rFonts w:cs="Times New Roman" w:cstheme="majorBidi"/>
          <w:i/>
        </w:rPr>
        <w:t>Home Office Guidance: Guidance on the Operation of Animals (Scientific Procedures) Act 1986</w:t>
      </w:r>
      <w:r>
        <w:rPr>
          <w:rFonts w:cs="Times New Roman" w:cstheme="majorBidi"/>
        </w:rPr>
        <w:t xml:space="preserve">  </w:t>
      </w:r>
      <w:hyperlink r:id="rId13">
        <w:r>
          <w:rPr>
            <w:rStyle w:val="InternetLink"/>
            <w:rFonts w:cs="Times New Roman" w:cstheme="majorBidi"/>
          </w:rPr>
          <w:t>https://www.gov.uk/guidance/research-and-testing-using-animals</w:t>
        </w:r>
      </w:hyperlink>
      <w:r>
        <w:rPr>
          <w:rFonts w:cs="Times New Roman" w:cstheme="majorBidi"/>
        </w:rPr>
        <w:t xml:space="preserve"> and a useful set of guidelines for best welfare practice can be found at  </w:t>
      </w:r>
      <w:hyperlink r:id="rId14">
        <w:r>
          <w:rPr>
            <w:rStyle w:val="InternetLink"/>
            <w:rFonts w:cs="Times New Roman" w:cstheme="majorBidi"/>
          </w:rPr>
          <w:t>http://www.ox.ac.uk/news-and-events/animal-research/university-policy-on-the-use-of-animals-in-scientific-research</w:t>
        </w:r>
      </w:hyperlink>
      <w:r>
        <w:rPr>
          <w:rStyle w:val="InternetLink"/>
          <w:rFonts w:cs="Times New Roman" w:cstheme="majorBidi"/>
        </w:rPr>
        <w:t>.</w:t>
      </w:r>
    </w:p>
    <w:p>
      <w:pPr>
        <w:pStyle w:val="Normal"/>
        <w:spacing w:lineRule="auto" w:line="276"/>
        <w:rPr>
          <w:rFonts w:ascii="Times New Roman" w:hAnsi="Times New Roman" w:cs="Times New Roman" w:asciiTheme="majorBidi" w:cstheme="majorBidi" w:hAnsiTheme="majorBidi"/>
        </w:rPr>
      </w:pPr>
      <w:r>
        <w:rPr>
          <w:rFonts w:cs="Times New Roman" w:cstheme="majorBidi"/>
        </w:rPr>
        <w:t xml:space="preserve">       </w:t>
      </w:r>
    </w:p>
    <w:p>
      <w:pPr>
        <w:pStyle w:val="Normal"/>
        <w:spacing w:lineRule="auto" w:line="276"/>
        <w:rPr>
          <w:rFonts w:ascii="Times New Roman" w:hAnsi="Times New Roman" w:cs="Times New Roman" w:asciiTheme="majorBidi" w:cstheme="majorBidi" w:hAnsiTheme="majorBidi"/>
        </w:rPr>
      </w:pPr>
      <w:r>
        <w:rPr>
          <w:rFonts w:cs="Times New Roman" w:cstheme="majorBidi"/>
        </w:rPr>
        <w:t xml:space="preserve">Although a contentious and complex issue, it is difficult to set out guidelines for non-human participant consent in research. Social anthropologists might work with people involved in animal breeding; livestock and husbandry practices; animal sports, entertainments, and exhibitions; companion animal practices; fishing and hunting; the use of animals in ceremonial and ritual events; the transformations of live animals to food products; animals in laboratory and other research settings. Researchers might well have personal ethical views and moral concerns about different human-animal engagements and on those grounds not be involved in participant observation or similar research practices. However, as </w:t>
      </w:r>
      <w:r>
        <w:rPr>
          <w:rFonts w:cs="Times New Roman" w:cstheme="majorBidi"/>
          <w:i/>
          <w:iCs/>
        </w:rPr>
        <w:t>per</w:t>
      </w:r>
      <w:r>
        <w:rPr>
          <w:rFonts w:cs="Times New Roman" w:cstheme="majorBidi"/>
        </w:rPr>
        <w:t xml:space="preserve"> the ASA main guidelines, researchers should be mindful of their ethical duties and responsibilities towards the human participants in such events and practices.</w:t>
      </w:r>
    </w:p>
    <w:p>
      <w:pPr>
        <w:pStyle w:val="Annotationtext"/>
        <w:spacing w:lineRule="auto" w:line="276"/>
        <w:rPr>
          <w:rFonts w:ascii="Times New Roman" w:hAnsi="Times New Roman" w:cs="Times New Roman" w:asciiTheme="majorBidi" w:cstheme="majorBidi" w:hAnsiTheme="majorBidi"/>
          <w:sz w:val="24"/>
          <w:szCs w:val="24"/>
          <w:lang w:val="en-CA"/>
        </w:rPr>
      </w:pPr>
      <w:r>
        <w:rPr>
          <w:rFonts w:cs="Times New Roman" w:cstheme="majorBidi" w:ascii="Times New Roman" w:hAnsi="Times New Roman"/>
          <w:sz w:val="24"/>
          <w:szCs w:val="24"/>
          <w:lang w:val="en-CA"/>
        </w:rPr>
      </w:r>
    </w:p>
    <w:p>
      <w:pPr>
        <w:pStyle w:val="Normal"/>
        <w:spacing w:lineRule="auto" w:line="276"/>
        <w:rPr>
          <w:rFonts w:ascii="Times New Roman" w:hAnsi="Times New Roman" w:cs="Times New Roman" w:asciiTheme="majorBidi" w:cstheme="majorBidi" w:hAnsiTheme="majorBidi"/>
          <w:b/>
          <w:b/>
          <w:bCs/>
        </w:rPr>
      </w:pPr>
      <w:r>
        <w:rPr>
          <w:rFonts w:cs="Times New Roman" w:cstheme="majorBidi"/>
          <w:b/>
          <w:bCs/>
        </w:rPr>
        <w:t>(iii) GDPR and data governance</w:t>
      </w:r>
    </w:p>
    <w:p>
      <w:pPr>
        <w:pStyle w:val="Normal"/>
        <w:spacing w:lineRule="auto" w:line="276"/>
        <w:rPr>
          <w:rFonts w:ascii="Times New Roman" w:hAnsi="Times New Roman" w:cs="Times New Roman" w:asciiTheme="majorBidi" w:cstheme="majorBidi" w:hAnsiTheme="majorBidi"/>
        </w:rPr>
      </w:pPr>
      <w:r>
        <w:rPr>
          <w:rFonts w:cs="Times New Roman" w:cstheme="majorBidi"/>
        </w:rPr>
        <w:t>In Europe (</w:t>
      </w:r>
      <w:hyperlink r:id="rId15">
        <w:r>
          <w:rPr>
            <w:rStyle w:val="InternetLink"/>
            <w:rFonts w:cs="Times New Roman" w:cstheme="majorBidi"/>
          </w:rPr>
          <w:t>including the UK</w:t>
        </w:r>
      </w:hyperlink>
      <w:r>
        <w:rPr>
          <w:rFonts w:cs="Times New Roman" w:cstheme="majorBidi"/>
        </w:rPr>
        <w:t xml:space="preserve">), processing of personal data has been codified in the General Data Protection Regulation (GDPR). The legislation aims to give individuals greater control over their personal data and how it is used. These requirements can pose distinct challenges for anthropologists. As </w:t>
      </w:r>
      <w:hyperlink r:id="rId16">
        <w:r>
          <w:rPr>
            <w:rStyle w:val="InternetLink"/>
            <w:rFonts w:cs="Times New Roman" w:cstheme="majorBidi"/>
          </w:rPr>
          <w:t>Pels et al. (2018: 391)</w:t>
        </w:r>
      </w:hyperlink>
      <w:r>
        <w:rPr>
          <w:rFonts w:cs="Times New Roman" w:cstheme="majorBidi"/>
        </w:rPr>
        <w:t xml:space="preserve"> observe, ‘Such forms of governance tend to define “data” as already commodified units of analysis, alienated from the social relations of research by contractual forms of informed consent and anonymization, and by ownership claims by researchers and employers’. These issues are exacerbated by unnuanced interpretations of GDPR by university administrators, with anthropologists frequently informed that they must anonymise data (i.e., irrevocably strip it of all personal identifiers) or destroy it after a set period to remain compliant with the legislation. We emphasise that neither is obligated by GDPR which has explicit provisions for academic ‘scientific’ research.</w:t>
      </w:r>
    </w:p>
    <w:p>
      <w:pPr>
        <w:pStyle w:val="Normal"/>
        <w:spacing w:lineRule="auto" w:line="276"/>
        <w:rPr>
          <w:rFonts w:ascii="Times New Roman" w:hAnsi="Times New Roman" w:cs="Times New Roman" w:asciiTheme="majorBidi" w:cstheme="majorBidi" w:hAnsiTheme="majorBidi"/>
        </w:rPr>
      </w:pPr>
      <w:r>
        <w:rPr>
          <w:rFonts w:cs="Times New Roman" w:cstheme="majorBidi"/>
        </w:rPr>
      </w:r>
    </w:p>
    <w:p>
      <w:pPr>
        <w:pStyle w:val="Normal"/>
        <w:spacing w:lineRule="auto" w:line="276"/>
        <w:rPr>
          <w:rFonts w:ascii="Times New Roman" w:hAnsi="Times New Roman" w:cs="Times New Roman" w:asciiTheme="majorBidi" w:cstheme="majorBidi" w:hAnsiTheme="majorBidi"/>
          <w:lang w:val="en-US"/>
        </w:rPr>
      </w:pPr>
      <w:r>
        <w:rPr>
          <w:rFonts w:cs="Times New Roman" w:cstheme="majorBidi"/>
          <w:lang w:val="en-US"/>
        </w:rPr>
        <w:t xml:space="preserve">Corsín Jiménez has outlined a </w:t>
      </w:r>
      <w:hyperlink r:id="rId17">
        <w:r>
          <w:rPr>
            <w:rStyle w:val="InternetLink"/>
            <w:rFonts w:cs="Times New Roman" w:cstheme="majorBidi"/>
            <w:lang w:val="en-US"/>
          </w:rPr>
          <w:t>Data Governance Framework for Ethnography</w:t>
        </w:r>
      </w:hyperlink>
      <w:r>
        <w:rPr>
          <w:rFonts w:cs="Times New Roman" w:cstheme="majorBidi"/>
          <w:lang w:val="en-US"/>
        </w:rPr>
        <w:t xml:space="preserve"> that does an excellent job of collating the provisions of the GDPR that make anthropological research entirely legal within its data management frameworks. Another useful resource is </w:t>
      </w:r>
      <w:hyperlink r:id="rId18">
        <w:r>
          <w:rPr>
            <w:rStyle w:val="InternetLink"/>
            <w:rFonts w:cs="Times New Roman" w:cstheme="majorBidi"/>
            <w:lang w:val="en-US"/>
          </w:rPr>
          <w:t>EASA’s Statement on Data Governance in Ethnographic Projects</w:t>
        </w:r>
      </w:hyperlink>
      <w:r>
        <w:rPr>
          <w:rFonts w:cs="Times New Roman" w:cstheme="majorBidi"/>
          <w:lang w:val="en-US"/>
        </w:rPr>
        <w:t xml:space="preserve">. Both documents providing wording and advice that anthropologists may find useful in pushing back against inappropriate institutional demands around data governance – especially those relating to anonymisation and the ethical repercussions such ‘un-naming’ potentially entails (see </w:t>
      </w:r>
      <w:hyperlink r:id="rId19">
        <w:r>
          <w:rPr>
            <w:rStyle w:val="InternetLink"/>
            <w:rFonts w:cs="Times New Roman" w:cstheme="majorBidi"/>
            <w:lang w:val="en-US"/>
          </w:rPr>
          <w:t>Yuill 2018</w:t>
        </w:r>
      </w:hyperlink>
      <w:r>
        <w:rPr>
          <w:rFonts w:cs="Times New Roman" w:cstheme="majorBidi"/>
          <w:lang w:val="en-US"/>
        </w:rPr>
        <w:t xml:space="preserve"> for further discussion).</w:t>
      </w:r>
    </w:p>
    <w:p>
      <w:pPr>
        <w:pStyle w:val="Normal"/>
        <w:spacing w:lineRule="auto" w:line="276"/>
        <w:rPr>
          <w:rFonts w:ascii="Times New Roman" w:hAnsi="Times New Roman" w:cs="Times New Roman" w:asciiTheme="majorBidi" w:cstheme="majorBidi" w:hAnsiTheme="majorBidi"/>
          <w:lang w:val="en-US"/>
        </w:rPr>
      </w:pPr>
      <w:r>
        <w:rPr>
          <w:rFonts w:cs="Times New Roman" w:cstheme="majorBidi"/>
          <w:lang w:val="en-US"/>
        </w:rPr>
      </w:r>
    </w:p>
    <w:p>
      <w:pPr>
        <w:pStyle w:val="Normal"/>
        <w:spacing w:lineRule="auto" w:line="276"/>
        <w:rPr>
          <w:rFonts w:ascii="Times New Roman" w:hAnsi="Times New Roman" w:cs="Times New Roman" w:asciiTheme="majorBidi" w:cstheme="majorBidi" w:hAnsiTheme="majorBidi"/>
          <w:i/>
          <w:i/>
          <w:iCs/>
          <w:lang w:val="en-US"/>
        </w:rPr>
      </w:pPr>
      <w:r>
        <w:rPr>
          <w:rFonts w:cs="Times New Roman" w:cstheme="majorBidi"/>
          <w:i/>
          <w:iCs/>
        </w:rPr>
        <w:t>Open data and archiving fieldnotes</w:t>
      </w:r>
    </w:p>
    <w:p>
      <w:pPr>
        <w:pStyle w:val="Normal"/>
        <w:spacing w:lineRule="auto" w:line="276"/>
        <w:rPr>
          <w:rFonts w:ascii="Times New Roman" w:hAnsi="Times New Roman" w:cs="Times New Roman" w:asciiTheme="majorBidi" w:cstheme="majorBidi" w:hAnsiTheme="majorBidi"/>
          <w:lang w:val="en-US"/>
        </w:rPr>
      </w:pPr>
      <w:r>
        <w:rPr>
          <w:rFonts w:cs="Times New Roman" w:cstheme="majorBidi"/>
          <w:lang w:val="en-US"/>
        </w:rPr>
        <w:t xml:space="preserve">Another area where data governance norms and requirements are shifting relates to calls for open data – mandated by an increasing array of funders and journals. Despite the unquestioned value currently placed on ‘openness’ within the open science movement, data sharing nevertheless raises a number of conceptual, practical and ethical questions (see </w:t>
      </w:r>
      <w:hyperlink r:id="rId20">
        <w:r>
          <w:rPr>
            <w:rStyle w:val="InternetLink"/>
            <w:rFonts w:cs="Times New Roman" w:cstheme="majorBidi"/>
            <w:lang w:val="en-US"/>
          </w:rPr>
          <w:t>Levin 2015</w:t>
        </w:r>
      </w:hyperlink>
      <w:r>
        <w:rPr>
          <w:rFonts w:cs="Times New Roman" w:cstheme="majorBidi"/>
          <w:lang w:val="en-US"/>
        </w:rPr>
        <w:t xml:space="preserve"> for further discussion). </w:t>
      </w:r>
      <w:hyperlink r:id="rId21">
        <w:r>
          <w:rPr>
            <w:rStyle w:val="InternetLink"/>
            <w:rFonts w:cs="Times New Roman" w:cstheme="majorBidi"/>
            <w:lang w:val="en-US"/>
          </w:rPr>
          <w:t>Murillo (2018)</w:t>
        </w:r>
      </w:hyperlink>
      <w:r>
        <w:rPr>
          <w:rFonts w:cs="Times New Roman" w:cstheme="majorBidi"/>
          <w:lang w:val="en-US"/>
        </w:rPr>
        <w:t xml:space="preserve"> provides an overview of the key discussions and debates pertaining to open data in anthropology and Corsín Jiménez also addresses the key ethical and practical considerations in his </w:t>
      </w:r>
      <w:hyperlink r:id="rId22">
        <w:r>
          <w:rPr>
            <w:rStyle w:val="InternetLink"/>
            <w:rFonts w:cs="Times New Roman" w:cstheme="majorBidi"/>
            <w:lang w:val="en-US"/>
          </w:rPr>
          <w:t>Data Governance Framework for Ethnography</w:t>
        </w:r>
      </w:hyperlink>
      <w:r>
        <w:rPr>
          <w:rFonts w:cs="Times New Roman" w:cstheme="majorBidi"/>
          <w:lang w:val="en-US"/>
        </w:rPr>
        <w:t xml:space="preserve">. As he notes, there is specific provision in the GDPR for research data including information about identifiable individuals to be held in the long term, and eventually to be archived. </w:t>
      </w:r>
    </w:p>
    <w:p>
      <w:pPr>
        <w:pStyle w:val="Normal"/>
        <w:spacing w:lineRule="auto" w:line="276"/>
        <w:rPr>
          <w:rFonts w:ascii="Times New Roman" w:hAnsi="Times New Roman" w:cs="Times New Roman" w:asciiTheme="majorBidi" w:cstheme="majorBidi" w:hAnsiTheme="majorBidi"/>
        </w:rPr>
      </w:pPr>
      <w:r>
        <w:rPr>
          <w:rFonts w:cs="Times New Roman" w:cstheme="majorBidi"/>
        </w:rPr>
      </w:r>
    </w:p>
    <w:p>
      <w:pPr>
        <w:pStyle w:val="Normal"/>
        <w:spacing w:lineRule="auto" w:line="276"/>
        <w:rPr>
          <w:rFonts w:ascii="Times New Roman" w:hAnsi="Times New Roman" w:cs="Times New Roman" w:asciiTheme="majorBidi" w:cstheme="majorBidi" w:hAnsiTheme="majorBidi"/>
        </w:rPr>
      </w:pPr>
      <w:r>
        <w:rPr>
          <w:rFonts w:cs="Times New Roman" w:cstheme="majorBidi"/>
        </w:rPr>
        <w:t>Those interested in illustrations of how the ethical issues surrounding the archiving of anthropological and related data have been addressed may find the following be useful:</w:t>
      </w:r>
    </w:p>
    <w:p>
      <w:pPr>
        <w:pStyle w:val="ListParagraph"/>
        <w:numPr>
          <w:ilvl w:val="0"/>
          <w:numId w:val="3"/>
        </w:numPr>
        <w:spacing w:lineRule="auto" w:line="276"/>
        <w:rPr>
          <w:rFonts w:ascii="Times New Roman" w:hAnsi="Times New Roman" w:cs="Times New Roman" w:asciiTheme="majorBidi" w:cstheme="majorBidi" w:hAnsiTheme="majorBidi"/>
          <w:lang w:val="en-US"/>
        </w:rPr>
      </w:pPr>
      <w:r>
        <w:rPr>
          <w:rFonts w:cs="Times New Roman" w:ascii="Times New Roman" w:hAnsi="Times New Roman" w:asciiTheme="majorBidi" w:cstheme="majorBidi" w:hAnsiTheme="majorBidi"/>
          <w:lang w:val="en-US"/>
        </w:rPr>
        <w:t xml:space="preserve">The </w:t>
      </w:r>
      <w:hyperlink r:id="rId23">
        <w:r>
          <w:rPr>
            <w:rStyle w:val="InternetLink"/>
            <w:rFonts w:cs="Times New Roman" w:ascii="Times New Roman" w:hAnsi="Times New Roman" w:asciiTheme="majorBidi" w:cstheme="majorBidi" w:hAnsiTheme="majorBidi"/>
            <w:lang w:val="en-US"/>
          </w:rPr>
          <w:t>Council for the Preservation of Anthropological Records (CoPAR)</w:t>
        </w:r>
      </w:hyperlink>
      <w:r>
        <w:rPr>
          <w:rFonts w:cs="Times New Roman" w:ascii="Times New Roman" w:hAnsi="Times New Roman" w:asciiTheme="majorBidi" w:cstheme="majorBidi" w:hAnsiTheme="majorBidi"/>
          <w:lang w:val="en-US"/>
        </w:rPr>
        <w:t xml:space="preserve"> – an organization founded in the 1990s to foster awareness of the importance of preserving anthropological records and to provide technical support to enable this. Overviews of CoPAR initiatives can be found in </w:t>
      </w:r>
      <w:hyperlink r:id="rId24">
        <w:r>
          <w:rPr>
            <w:rStyle w:val="InternetLink"/>
            <w:rFonts w:cs="Times New Roman" w:ascii="Times New Roman" w:hAnsi="Times New Roman" w:asciiTheme="majorBidi" w:cstheme="majorBidi" w:hAnsiTheme="majorBidi"/>
            <w:lang w:val="en-US"/>
          </w:rPr>
          <w:t>Parezo et al. (2003)</w:t>
        </w:r>
      </w:hyperlink>
      <w:r>
        <w:rPr>
          <w:rFonts w:cs="Times New Roman" w:ascii="Times New Roman" w:hAnsi="Times New Roman" w:asciiTheme="majorBidi" w:cstheme="majorBidi" w:hAnsiTheme="majorBidi"/>
          <w:lang w:val="en-US"/>
        </w:rPr>
        <w:t xml:space="preserve"> and </w:t>
      </w:r>
      <w:hyperlink r:id="rId25">
        <w:r>
          <w:rPr>
            <w:rStyle w:val="InternetLink"/>
            <w:rFonts w:cs="Times New Roman" w:ascii="Times New Roman" w:hAnsi="Times New Roman" w:asciiTheme="majorBidi" w:cstheme="majorBidi" w:hAnsiTheme="majorBidi"/>
            <w:lang w:val="en-US"/>
          </w:rPr>
          <w:t>Marsh et al. (2019)</w:t>
        </w:r>
      </w:hyperlink>
      <w:r>
        <w:rPr>
          <w:rFonts w:cs="Times New Roman" w:ascii="Times New Roman" w:hAnsi="Times New Roman" w:asciiTheme="majorBidi" w:cstheme="majorBidi" w:hAnsiTheme="majorBidi"/>
          <w:lang w:val="en-US"/>
        </w:rPr>
        <w:t>.</w:t>
      </w:r>
    </w:p>
    <w:p>
      <w:pPr>
        <w:pStyle w:val="ListParagraph"/>
        <w:numPr>
          <w:ilvl w:val="0"/>
          <w:numId w:val="3"/>
        </w:numPr>
        <w:spacing w:lineRule="auto" w:line="276"/>
        <w:rPr>
          <w:rFonts w:ascii="Times New Roman" w:hAnsi="Times New Roman" w:cs="Times New Roman" w:asciiTheme="majorBidi" w:cstheme="majorBidi" w:hAnsiTheme="majorBidi"/>
          <w:lang w:val="en-US"/>
        </w:rPr>
      </w:pPr>
      <w:hyperlink r:id="rId26">
        <w:r>
          <w:rPr>
            <w:rStyle w:val="InternetLink"/>
            <w:rFonts w:cs="Times New Roman" w:ascii="Times New Roman" w:hAnsi="Times New Roman" w:asciiTheme="majorBidi" w:cstheme="majorBidi" w:hAnsiTheme="majorBidi"/>
            <w:lang w:val="en-US"/>
          </w:rPr>
          <w:t>UK Data Archive</w:t>
        </w:r>
      </w:hyperlink>
      <w:r>
        <w:rPr>
          <w:rFonts w:cs="Times New Roman" w:ascii="Times New Roman" w:hAnsi="Times New Roman" w:asciiTheme="majorBidi" w:cstheme="majorBidi" w:hAnsiTheme="majorBidi"/>
          <w:lang w:val="en-US"/>
        </w:rPr>
        <w:t xml:space="preserve"> – this is a digital repository for social science data which includes some anthropological material. Especially in its Qualidata section, it has developed ways of working with the sorts of unstructured material that anthropologists tend to produce. Access is not open in the sense of being uncontrolled: users have to register and in some cases </w:t>
      </w:r>
      <w:r>
        <w:rPr>
          <w:rFonts w:cs="Times New Roman" w:ascii="Times New Roman" w:hAnsi="Times New Roman" w:asciiTheme="majorBidi" w:cstheme="majorBidi" w:hAnsiTheme="majorBidi"/>
          <w:i/>
          <w:lang w:val="en-US"/>
        </w:rPr>
        <w:t>they</w:t>
      </w:r>
      <w:r>
        <w:rPr>
          <w:rFonts w:cs="Times New Roman" w:ascii="Times New Roman" w:hAnsi="Times New Roman" w:asciiTheme="majorBidi" w:cstheme="majorBidi" w:hAnsiTheme="majorBidi"/>
          <w:lang w:val="en-US"/>
        </w:rPr>
        <w:t xml:space="preserve"> have to give consent, so they enter into the same sort of relationships of trust with the informants that the original researcher did. Moreover, material placed into the archive can in some circumstances be embargoed. The UK Data Archive has also worked with the UK Census to develop protocols (and technical solutions) for ‘Secure Access Points’ which enable remote access to highly sensitive datasets in constrained and controlled fashion.  </w:t>
      </w:r>
    </w:p>
    <w:p>
      <w:pPr>
        <w:pStyle w:val="Normal"/>
        <w:spacing w:lineRule="auto" w:line="276"/>
        <w:rPr>
          <w:rFonts w:ascii="Times New Roman" w:hAnsi="Times New Roman" w:cs="Times New Roman" w:asciiTheme="majorBidi" w:cstheme="majorBidi" w:hAnsiTheme="majorBidi"/>
        </w:rPr>
      </w:pPr>
      <w:r>
        <w:rPr>
          <w:rFonts w:cs="Times New Roman" w:cstheme="majorBidi"/>
        </w:rPr>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b/>
          <w:b/>
          <w:bCs/>
          <w:color w:val="000000" w:themeColor="text1"/>
        </w:rPr>
      </w:pPr>
      <w:r>
        <w:rPr>
          <w:rFonts w:cs="Times New Roman" w:cstheme="majorBidi"/>
          <w:b/>
          <w:bCs/>
          <w:color w:val="000000" w:themeColor="text1"/>
        </w:rPr>
        <w:t xml:space="preserve">(iv) Other ethical and fieldwork guidance </w:t>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r>
        <w:rPr>
          <w:rFonts w:cs="Times New Roman" w:cstheme="majorBidi"/>
          <w:color w:val="000000" w:themeColor="text1"/>
        </w:rPr>
        <w:t>Depending on their field and background, some anthropologists may also need to be aware of ethical guidelines produced by other professional or academic organisations, or anthropological organisations in other countries. We have included links to some below, but please do suggest other resources that may be useful:</w:t>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r>
        <w:rPr>
          <w:rFonts w:cs="Times New Roman" w:cstheme="majorBidi"/>
          <w:b/>
          <w:bCs/>
          <w:color w:val="000000" w:themeColor="text1"/>
        </w:rPr>
        <w:t>AAA Statement on Ethics</w:t>
      </w:r>
      <w:r>
        <w:rPr>
          <w:rFonts w:cs="Times New Roman" w:cstheme="majorBidi"/>
          <w:color w:val="000000" w:themeColor="text1"/>
        </w:rPr>
        <w:t xml:space="preserve">: American Association of Social Anthropology  </w:t>
      </w:r>
    </w:p>
    <w:p>
      <w:pPr>
        <w:pStyle w:val="NormalWeb"/>
        <w:shd w:val="clear" w:color="auto" w:fill="FFFFFF"/>
        <w:tabs>
          <w:tab w:val="clear" w:pos="720"/>
          <w:tab w:val="right" w:pos="9360" w:leader="none"/>
        </w:tabs>
        <w:spacing w:lineRule="auto" w:line="276" w:beforeAutospacing="0" w:before="0" w:afterAutospacing="0" w:after="173"/>
        <w:rPr>
          <w:rFonts w:ascii="Times New Roman" w:hAnsi="Times New Roman" w:cs="Times New Roman" w:asciiTheme="majorBidi" w:cstheme="majorBidi" w:hAnsiTheme="majorBidi"/>
          <w:color w:val="000000" w:themeColor="text1"/>
        </w:rPr>
      </w:pPr>
      <w:hyperlink r:id="rId27">
        <w:r>
          <w:rPr>
            <w:rStyle w:val="InternetLink"/>
            <w:rFonts w:cs="Times New Roman" w:cstheme="majorBidi"/>
          </w:rPr>
          <w:t>https://www.americananthro.org/LearnAndTeach/Content.aspx?ItemNumber=22869</w:t>
        </w:r>
      </w:hyperlink>
    </w:p>
    <w:p>
      <w:pPr>
        <w:pStyle w:val="NormalWeb"/>
        <w:shd w:val="clear" w:color="auto" w:fill="FFFFFF"/>
        <w:tabs>
          <w:tab w:val="clear" w:pos="720"/>
          <w:tab w:val="right" w:pos="9360" w:leader="none"/>
        </w:tabs>
        <w:spacing w:lineRule="auto" w:line="276" w:beforeAutospacing="0" w:before="0" w:afterAutospacing="0" w:after="173"/>
        <w:rPr>
          <w:rFonts w:ascii="Times New Roman" w:hAnsi="Times New Roman" w:cs="Times New Roman" w:asciiTheme="majorBidi" w:cstheme="majorBidi" w:hAnsiTheme="majorBidi"/>
          <w:color w:val="000000" w:themeColor="text1"/>
        </w:rPr>
      </w:pPr>
      <w:r>
        <w:rPr>
          <w:rFonts w:cs="Times New Roman" w:cstheme="majorBidi"/>
          <w:color w:val="000000" w:themeColor="text1"/>
        </w:rPr>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b/>
          <w:b/>
          <w:bCs/>
          <w:color w:val="000000" w:themeColor="text1"/>
        </w:rPr>
      </w:pPr>
      <w:r>
        <w:rPr>
          <w:rFonts w:cs="Times New Roman" w:cstheme="majorBidi"/>
          <w:b/>
          <w:bCs/>
          <w:color w:val="000000" w:themeColor="text1"/>
        </w:rPr>
        <w:t xml:space="preserve">AAS Code of Ethics: </w:t>
      </w:r>
      <w:r>
        <w:rPr>
          <w:rFonts w:cs="Times New Roman" w:cstheme="majorBidi"/>
          <w:color w:val="000000" w:themeColor="text1"/>
        </w:rPr>
        <w:t>Australian Anthropological Society</w:t>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hyperlink r:id="rId28">
        <w:r>
          <w:rPr>
            <w:rStyle w:val="InternetLink"/>
            <w:rFonts w:cs="Times New Roman" w:cstheme="majorBidi"/>
          </w:rPr>
          <w:t>https://www.aas.asn.au/content.aspx?page_id=22&amp;club_id=143481&amp;module_id=395252</w:t>
        </w:r>
      </w:hyperlink>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b/>
          <w:b/>
          <w:bCs/>
          <w:color w:val="000000" w:themeColor="text1"/>
        </w:rPr>
      </w:pPr>
      <w:r>
        <w:rPr>
          <w:rFonts w:cs="Times New Roman" w:cstheme="majorBidi"/>
          <w:b/>
          <w:bCs/>
          <w:color w:val="000000" w:themeColor="text1"/>
        </w:rPr>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r>
        <w:rPr>
          <w:rFonts w:cs="Times New Roman" w:cstheme="majorBidi"/>
          <w:b/>
          <w:bCs/>
          <w:color w:val="000000" w:themeColor="text1"/>
        </w:rPr>
        <w:t>Navigating the Field:</w:t>
      </w:r>
      <w:r>
        <w:rPr>
          <w:rFonts w:cs="Times New Roman" w:cstheme="majorBidi"/>
          <w:color w:val="000000" w:themeColor="text1"/>
        </w:rPr>
        <w:t xml:space="preserve"> Australian Anthropological Society </w:t>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hyperlink r:id="rId29">
        <w:r>
          <w:rPr>
            <w:rStyle w:val="InternetLink"/>
            <w:rFonts w:cs="Times New Roman" w:cstheme="majorBidi"/>
          </w:rPr>
          <w:t>https://fieldwork.weblogs.anu.edu.au/</w:t>
        </w:r>
      </w:hyperlink>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b/>
          <w:b/>
          <w:bCs/>
          <w:color w:val="000000" w:themeColor="text1"/>
        </w:rPr>
      </w:pPr>
      <w:r>
        <w:rPr>
          <w:rFonts w:cs="Times New Roman" w:cstheme="majorBidi"/>
          <w:b/>
          <w:bCs/>
          <w:color w:val="000000" w:themeColor="text1"/>
        </w:rPr>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r>
        <w:rPr>
          <w:rFonts w:cs="Times New Roman" w:cstheme="majorBidi"/>
          <w:b/>
          <w:bCs/>
          <w:color w:val="000000" w:themeColor="text1"/>
        </w:rPr>
        <w:t>ESRC Statement Framework for Research Ethics 2010:</w:t>
      </w:r>
      <w:r>
        <w:rPr>
          <w:rFonts w:cs="Times New Roman" w:cstheme="majorBidi"/>
          <w:color w:val="000000" w:themeColor="text1"/>
        </w:rPr>
        <w:t xml:space="preserve"> (updated 2012), Economic and Social Research Council, UK </w:t>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hyperlink r:id="rId30">
        <w:r>
          <w:rPr>
            <w:rStyle w:val="InternetLink"/>
            <w:rFonts w:cs="Times New Roman" w:cstheme="majorBidi"/>
          </w:rPr>
          <w:t>https://esrc.ukri.org/files/funding/guidance-for-applicants/esrc-framework-for-research-ethics-2010/</w:t>
        </w:r>
      </w:hyperlink>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r>
        <w:rPr>
          <w:rFonts w:cs="Times New Roman" w:cstheme="majorBidi"/>
          <w:color w:val="000000" w:themeColor="text1"/>
        </w:rPr>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r>
        <w:rPr>
          <w:rFonts w:cs="Times New Roman" w:cstheme="majorBidi"/>
          <w:b/>
          <w:bCs/>
          <w:color w:val="000000" w:themeColor="text1"/>
        </w:rPr>
        <w:t>AHRC Code of Practice</w:t>
      </w:r>
      <w:r>
        <w:rPr>
          <w:rFonts w:cs="Times New Roman" w:cstheme="majorBidi"/>
          <w:color w:val="000000" w:themeColor="text1"/>
        </w:rPr>
        <w:t>: Arts and Humanities Research Council, UK</w:t>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hyperlink r:id="rId31">
        <w:r>
          <w:rPr>
            <w:rStyle w:val="InternetLink"/>
            <w:rFonts w:cs="Times New Roman" w:cstheme="majorBidi"/>
          </w:rPr>
          <w:t>https://ahrc.ukri.org/about/policies/codeofpractice/</w:t>
        </w:r>
      </w:hyperlink>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r>
        <w:rPr>
          <w:rFonts w:cs="Times New Roman" w:cstheme="majorBidi"/>
          <w:color w:val="000000" w:themeColor="text1"/>
        </w:rPr>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r>
        <w:rPr>
          <w:rFonts w:cs="Times New Roman" w:cstheme="majorBidi"/>
          <w:b/>
          <w:bCs/>
          <w:color w:val="000000" w:themeColor="text1"/>
        </w:rPr>
        <w:t>BSA Statement of Ethical Practice</w:t>
      </w:r>
      <w:r>
        <w:rPr>
          <w:rFonts w:cs="Times New Roman" w:cstheme="majorBidi"/>
          <w:color w:val="000000" w:themeColor="text1"/>
        </w:rPr>
        <w:t xml:space="preserve">: British Sociological Association </w:t>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r>
        <w:rPr>
          <w:rFonts w:cs="Times New Roman" w:cstheme="majorBidi"/>
          <w:color w:val="000000" w:themeColor="text1"/>
        </w:rPr>
        <w:t>(includes a useful annexe on the ethics of digital research with case studies)</w:t>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hyperlink r:id="rId32">
        <w:r>
          <w:rPr>
            <w:rStyle w:val="InternetLink"/>
            <w:rFonts w:cs="Times New Roman" w:cstheme="majorBidi"/>
          </w:rPr>
          <w:t>https://www.britsoc.co.uk/ethics</w:t>
        </w:r>
      </w:hyperlink>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b/>
          <w:b/>
          <w:bCs/>
          <w:color w:val="000000" w:themeColor="text1"/>
        </w:rPr>
      </w:pPr>
      <w:r>
        <w:rPr>
          <w:rFonts w:cs="Times New Roman" w:cstheme="majorBidi"/>
          <w:b/>
          <w:bCs/>
          <w:color w:val="000000" w:themeColor="text1"/>
        </w:rPr>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r>
        <w:rPr>
          <w:rFonts w:cs="Times New Roman" w:cstheme="majorBidi"/>
          <w:b/>
          <w:bCs/>
          <w:color w:val="000000" w:themeColor="text1"/>
        </w:rPr>
        <w:t>Safe, Responsible and Ethical Research</w:t>
      </w:r>
      <w:r>
        <w:rPr>
          <w:rFonts w:cs="Times New Roman" w:cstheme="majorBidi"/>
          <w:color w:val="000000" w:themeColor="text1"/>
        </w:rPr>
        <w:t>: Royal Geographical Society</w:t>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hyperlink r:id="rId33">
        <w:r>
          <w:rPr>
            <w:rStyle w:val="InternetLink"/>
            <w:rFonts w:cs="Times New Roman" w:cstheme="majorBidi"/>
          </w:rPr>
          <w:t>https://www.rgs.org/in-the-field/in-the-field-grants/advice-and-resources/safe-and-ethical-research/</w:t>
        </w:r>
      </w:hyperlink>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b/>
          <w:b/>
          <w:bCs/>
          <w:color w:val="000000" w:themeColor="text1"/>
        </w:rPr>
      </w:pPr>
      <w:r>
        <w:rPr>
          <w:rFonts w:cs="Times New Roman" w:cstheme="majorBidi"/>
          <w:b/>
          <w:bCs/>
          <w:color w:val="000000" w:themeColor="text1"/>
        </w:rPr>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r>
        <w:rPr>
          <w:rFonts w:cs="Times New Roman" w:cstheme="majorBidi"/>
          <w:b/>
          <w:bCs/>
          <w:color w:val="000000" w:themeColor="text1"/>
        </w:rPr>
        <w:t>Code of Ethics for Social Work</w:t>
      </w:r>
      <w:r>
        <w:rPr>
          <w:rFonts w:cs="Times New Roman" w:cstheme="majorBidi"/>
          <w:color w:val="000000" w:themeColor="text1"/>
        </w:rPr>
        <w:t xml:space="preserve">: British Association for Social Work </w:t>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hyperlink r:id="rId34">
        <w:r>
          <w:rPr>
            <w:rStyle w:val="InternetLink"/>
            <w:rFonts w:cs="Times New Roman" w:cstheme="majorBidi"/>
          </w:rPr>
          <w:t>https://www.basw.co.uk/about-basw/code-ethics</w:t>
        </w:r>
      </w:hyperlink>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r>
        <w:rPr>
          <w:rFonts w:cs="Times New Roman" w:cstheme="majorBidi"/>
          <w:color w:val="000000" w:themeColor="text1"/>
        </w:rPr>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r>
        <w:rPr>
          <w:rFonts w:cs="Times New Roman" w:cstheme="majorBidi"/>
          <w:b/>
          <w:bCs/>
          <w:color w:val="000000" w:themeColor="text1"/>
        </w:rPr>
        <w:t>Code of Ethics in Social Work</w:t>
      </w:r>
      <w:r>
        <w:rPr>
          <w:rFonts w:cs="Times New Roman" w:cstheme="majorBidi"/>
          <w:color w:val="000000" w:themeColor="text1"/>
        </w:rPr>
        <w:t>: Mastersinsocialworkonline</w:t>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hyperlink r:id="rId35">
        <w:r>
          <w:rPr>
            <w:rStyle w:val="InternetLink"/>
            <w:rFonts w:cs="Times New Roman" w:cstheme="majorBidi"/>
          </w:rPr>
          <w:t>https://mastersinsocialworkonline.org/resources/social-work-ethics/</w:t>
        </w:r>
      </w:hyperlink>
    </w:p>
    <w:p>
      <w:pPr>
        <w:pStyle w:val="NormalWeb"/>
        <w:shd w:val="clear" w:color="auto" w:fill="FFFFFF"/>
        <w:spacing w:lineRule="auto" w:line="276" w:beforeAutospacing="0" w:before="0" w:afterAutospacing="0" w:after="173"/>
        <w:rPr>
          <w:b/>
          <w:b/>
          <w:bCs/>
        </w:rPr>
      </w:pPr>
      <w:r>
        <w:rPr>
          <w:b/>
          <w:bCs/>
        </w:rPr>
      </w:r>
    </w:p>
    <w:p>
      <w:pPr>
        <w:pStyle w:val="NormalWeb"/>
        <w:shd w:val="clear" w:color="auto" w:fill="FFFFFF"/>
        <w:spacing w:lineRule="auto" w:line="276" w:beforeAutospacing="0" w:before="0" w:afterAutospacing="0" w:after="173"/>
        <w:rPr/>
      </w:pPr>
      <w:r>
        <w:rPr>
          <w:b/>
          <w:bCs/>
        </w:rPr>
        <w:t>Internet Research: Ethical Guidelines 3.0 (2019)</w:t>
      </w:r>
      <w:r>
        <w:rPr/>
        <w:t>: Association of Internet Researchers</w:t>
      </w:r>
    </w:p>
    <w:p>
      <w:pPr>
        <w:pStyle w:val="NormalWeb"/>
        <w:shd w:val="clear" w:color="auto" w:fill="FFFFFF"/>
        <w:spacing w:lineRule="auto" w:line="276" w:beforeAutospacing="0" w:before="0" w:afterAutospacing="0" w:after="173"/>
        <w:rPr>
          <w:rFonts w:ascii="Times New Roman" w:hAnsi="Times New Roman" w:cs="Times New Roman" w:asciiTheme="majorBidi" w:cstheme="majorBidi" w:hAnsiTheme="majorBidi"/>
          <w:color w:val="000000" w:themeColor="text1"/>
        </w:rPr>
      </w:pPr>
      <w:hyperlink r:id="rId36">
        <w:r>
          <w:rPr>
            <w:rStyle w:val="InternetLink"/>
          </w:rPr>
          <w:t>Association of Internet Researchers Ethical Guidance.pdf</w:t>
        </w:r>
      </w:hyperlink>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4"/>
        <w:szCs w:val="24"/>
        <w:lang w:val="en-C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0977"/>
    <w:pPr>
      <w:widowControl/>
      <w:bidi w:val="0"/>
      <w:spacing w:before="0" w:after="0"/>
      <w:jc w:val="left"/>
    </w:pPr>
    <w:rPr>
      <w:rFonts w:ascii="Times New Roman" w:hAnsi="Times New Roman" w:eastAsia="Times New Roman" w:cs="Times New Roman"/>
      <w:color w:val="auto"/>
      <w:kern w:val="0"/>
      <w:sz w:val="24"/>
      <w:szCs w:val="24"/>
      <w:lang w:val="en-CA"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6766b"/>
    <w:rPr>
      <w:rFonts w:ascii="Times New Roman" w:hAnsi="Times New Roman" w:cs="Times New Roman"/>
      <w:sz w:val="18"/>
      <w:szCs w:val="18"/>
    </w:rPr>
  </w:style>
  <w:style w:type="character" w:styleId="InternetLink">
    <w:name w:val="Hyperlink"/>
    <w:basedOn w:val="DefaultParagraphFont"/>
    <w:uiPriority w:val="99"/>
    <w:unhideWhenUsed/>
    <w:rsid w:val="00372b17"/>
    <w:rPr>
      <w:color w:val="0563C1" w:themeColor="hyperlink"/>
      <w:u w:val="single"/>
    </w:rPr>
  </w:style>
  <w:style w:type="character" w:styleId="UnresolvedMention">
    <w:name w:val="Unresolved Mention"/>
    <w:basedOn w:val="DefaultParagraphFont"/>
    <w:uiPriority w:val="99"/>
    <w:semiHidden/>
    <w:unhideWhenUsed/>
    <w:qFormat/>
    <w:rsid w:val="00372b17"/>
    <w:rPr>
      <w:color w:val="605E5C"/>
      <w:shd w:fill="E1DFDD" w:val="clear"/>
    </w:rPr>
  </w:style>
  <w:style w:type="character" w:styleId="VisitedInternetLink">
    <w:name w:val="FollowedHyperlink"/>
    <w:basedOn w:val="DefaultParagraphFont"/>
    <w:uiPriority w:val="99"/>
    <w:semiHidden/>
    <w:unhideWhenUsed/>
    <w:rsid w:val="00aa5c21"/>
    <w:rPr>
      <w:color w:val="954F72" w:themeColor="followedHyperlink"/>
      <w:u w:val="single"/>
    </w:rPr>
  </w:style>
  <w:style w:type="character" w:styleId="Appleconvertedspace" w:customStyle="1">
    <w:name w:val="apple-converted-space"/>
    <w:basedOn w:val="DefaultParagraphFont"/>
    <w:qFormat/>
    <w:rsid w:val="00422b02"/>
    <w:rPr/>
  </w:style>
  <w:style w:type="character" w:styleId="Emphasis">
    <w:name w:val="Emphasis"/>
    <w:basedOn w:val="DefaultParagraphFont"/>
    <w:uiPriority w:val="20"/>
    <w:qFormat/>
    <w:rsid w:val="00422b02"/>
    <w:rPr>
      <w:i/>
      <w:iCs/>
    </w:rPr>
  </w:style>
  <w:style w:type="character" w:styleId="CommentTextChar" w:customStyle="1">
    <w:name w:val="Comment Text Char"/>
    <w:basedOn w:val="DefaultParagraphFont"/>
    <w:link w:val="CommentText"/>
    <w:uiPriority w:val="99"/>
    <w:semiHidden/>
    <w:qFormat/>
    <w:rsid w:val="00f774e8"/>
    <w:rPr>
      <w:rFonts w:ascii="Tahoma" w:hAnsi="Tahoma" w:eastAsia="Tahoma" w:cs="Tahoma"/>
      <w:sz w:val="20"/>
      <w:szCs w:val="20"/>
      <w:lang w:val="en-GB" w:eastAsia="zh-CN"/>
    </w:rPr>
  </w:style>
  <w:style w:type="character" w:styleId="Annotationreference">
    <w:name w:val="annotation reference"/>
    <w:basedOn w:val="DefaultParagraphFont"/>
    <w:uiPriority w:val="99"/>
    <w:semiHidden/>
    <w:unhideWhenUsed/>
    <w:qFormat/>
    <w:rsid w:val="00462bae"/>
    <w:rPr>
      <w:sz w:val="16"/>
      <w:szCs w:val="16"/>
    </w:rPr>
  </w:style>
  <w:style w:type="character" w:styleId="CommentSubjectChar" w:customStyle="1">
    <w:name w:val="Comment Subject Char"/>
    <w:basedOn w:val="CommentTextChar"/>
    <w:link w:val="CommentSubject"/>
    <w:uiPriority w:val="99"/>
    <w:semiHidden/>
    <w:qFormat/>
    <w:rsid w:val="00462bae"/>
    <w:rPr>
      <w:rFonts w:ascii="Times New Roman" w:hAnsi="Times New Roman" w:eastAsia="Times New Roman" w:cs="Times New Roman"/>
      <w:b/>
      <w:bCs/>
      <w:sz w:val="20"/>
      <w:szCs w:val="20"/>
      <w:lang w:val="en-GB" w:eastAsia="zh-C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8d3188"/>
    <w:pPr>
      <w:spacing w:before="0" w:after="0"/>
      <w:ind w:left="720" w:hanging="0"/>
      <w:contextualSpacing/>
    </w:pPr>
    <w:rPr>
      <w:rFonts w:ascii="Calibri" w:hAnsi="Calibri" w:eastAsia="Calibri" w:cs="Arial" w:asciiTheme="minorHAnsi" w:cstheme="minorBidi" w:eastAsiaTheme="minorHAnsi" w:hAnsiTheme="minorHAnsi"/>
    </w:rPr>
  </w:style>
  <w:style w:type="paragraph" w:styleId="NormalWeb">
    <w:name w:val="Normal (Web)"/>
    <w:basedOn w:val="Normal"/>
    <w:uiPriority w:val="99"/>
    <w:semiHidden/>
    <w:unhideWhenUsed/>
    <w:qFormat/>
    <w:rsid w:val="008d3188"/>
    <w:pPr>
      <w:spacing w:beforeAutospacing="1" w:afterAutospacing="1"/>
    </w:pPr>
    <w:rPr/>
  </w:style>
  <w:style w:type="paragraph" w:styleId="BalloonText">
    <w:name w:val="Balloon Text"/>
    <w:basedOn w:val="Normal"/>
    <w:link w:val="BalloonTextChar"/>
    <w:uiPriority w:val="99"/>
    <w:semiHidden/>
    <w:unhideWhenUsed/>
    <w:qFormat/>
    <w:rsid w:val="0006766b"/>
    <w:pPr/>
    <w:rPr>
      <w:rFonts w:eastAsia="Calibri" w:eastAsiaTheme="minorHAnsi"/>
      <w:sz w:val="18"/>
      <w:szCs w:val="18"/>
    </w:rPr>
  </w:style>
  <w:style w:type="paragraph" w:styleId="Annotationtext">
    <w:name w:val="annotation text"/>
    <w:basedOn w:val="Normal"/>
    <w:link w:val="CommentTextChar"/>
    <w:uiPriority w:val="99"/>
    <w:semiHidden/>
    <w:unhideWhenUsed/>
    <w:qFormat/>
    <w:rsid w:val="00f774e8"/>
    <w:pPr>
      <w:spacing w:before="0" w:after="120"/>
    </w:pPr>
    <w:rPr>
      <w:rFonts w:ascii="Tahoma" w:hAnsi="Tahoma" w:eastAsia="Tahoma" w:cs="Tahoma"/>
      <w:sz w:val="20"/>
      <w:szCs w:val="20"/>
      <w:lang w:val="en-GB" w:eastAsia="zh-CN"/>
    </w:rPr>
  </w:style>
  <w:style w:type="paragraph" w:styleId="Revision">
    <w:name w:val="Revision"/>
    <w:uiPriority w:val="99"/>
    <w:semiHidden/>
    <w:qFormat/>
    <w:rsid w:val="0049057d"/>
    <w:pPr>
      <w:widowControl/>
      <w:bidi w:val="0"/>
      <w:spacing w:before="0" w:after="0"/>
      <w:jc w:val="left"/>
    </w:pPr>
    <w:rPr>
      <w:rFonts w:ascii="Times New Roman" w:hAnsi="Times New Roman" w:eastAsia="Times New Roman" w:cs="Times New Roman"/>
      <w:color w:val="auto"/>
      <w:kern w:val="0"/>
      <w:sz w:val="24"/>
      <w:szCs w:val="24"/>
      <w:lang w:val="en-CA" w:eastAsia="en-US" w:bidi="ar-SA"/>
    </w:rPr>
  </w:style>
  <w:style w:type="paragraph" w:styleId="Annotationsubject">
    <w:name w:val="annotation subject"/>
    <w:basedOn w:val="Annotationtext"/>
    <w:next w:val="Annotationtext"/>
    <w:link w:val="CommentSubjectChar"/>
    <w:uiPriority w:val="99"/>
    <w:semiHidden/>
    <w:unhideWhenUsed/>
    <w:qFormat/>
    <w:rsid w:val="00462bae"/>
    <w:pPr>
      <w:spacing w:before="0" w:after="0"/>
    </w:pPr>
    <w:rPr>
      <w:rFonts w:ascii="Times New Roman" w:hAnsi="Times New Roman" w:eastAsia="Times New Roman" w:cs="Times New Roman"/>
      <w:b/>
      <w:bCs/>
      <w:lang w:val="en-CA" w:eastAsia="en-U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heasa.org/ethics/" TargetMode="External"/><Relationship Id="rId3" Type="http://schemas.openxmlformats.org/officeDocument/2006/relationships/hyperlink" Target="https://anthrosource.onlinelibrary.wiley.com/doi/abs/10.1111/aman.12122" TargetMode="External"/><Relationship Id="rId4" Type="http://schemas.openxmlformats.org/officeDocument/2006/relationships/hyperlink" Target="https://anthrosource.onlinelibrary.wiley.com/doi/abs/10.1525/ae.2006.33.4.482" TargetMode="External"/><Relationship Id="rId5" Type="http://schemas.openxmlformats.org/officeDocument/2006/relationships/hyperlink" Target="https://journals.sagepub.com/doi/10.1177/14661380022230660" TargetMode="External"/><Relationship Id="rId6" Type="http://schemas.openxmlformats.org/officeDocument/2006/relationships/hyperlink" Target="http://tupress.temple.edu/book/3051" TargetMode="External"/><Relationship Id="rId7" Type="http://schemas.openxmlformats.org/officeDocument/2006/relationships/hyperlink" Target="https://journals.sagepub.com/doi/10.1177/0952695108095511" TargetMode="External"/><Relationship Id="rId8" Type="http://schemas.openxmlformats.org/officeDocument/2006/relationships/hyperlink" Target="https://link.springer.com/article/10.1007/s11133-011-9212-2" TargetMode="External"/><Relationship Id="rId9" Type="http://schemas.openxmlformats.org/officeDocument/2006/relationships/hyperlink" Target="https://ethics.gc.ca/eng/policy-politique_tcps2-eptc2_2018.html" TargetMode="External"/><Relationship Id="rId10" Type="http://schemas.openxmlformats.org/officeDocument/2006/relationships/hyperlink" Target="https://ethics.gc.ca/eng/tcps2-eptc2_2018_chapter10-chapitre10.html" TargetMode="External"/><Relationship Id="rId11" Type="http://schemas.openxmlformats.org/officeDocument/2006/relationships/hyperlink" Target="https://anthrosource.onlinelibrary.wiley.com/doi/full/10.1111/aman.13148?casa_token=9ojePOZYbvAAAAAA%3AsANZrzVwQyWs-cKu0sY1_2VF3HMl24xfshGDdLuTyTcy9_0e4UXXZoKkov7TqeRyEv70uOkVk9PtiTc" TargetMode="External"/><Relationship Id="rId12" Type="http://schemas.openxmlformats.org/officeDocument/2006/relationships/hyperlink" Target="https://journals.sagepub.com/doi/10.1177/1466138119843312" TargetMode="External"/><Relationship Id="rId13" Type="http://schemas.openxmlformats.org/officeDocument/2006/relationships/hyperlink" Target="https://www.gov.uk/guidance/research-and-testing-using-animals" TargetMode="External"/><Relationship Id="rId14" Type="http://schemas.openxmlformats.org/officeDocument/2006/relationships/hyperlink" Target="http://www.ox.ac.uk/news-and-events/animal-research/university-policy-on-the-use-of-animals-in-scientific-research" TargetMode="External"/><Relationship Id="rId15" Type="http://schemas.openxmlformats.org/officeDocument/2006/relationships/hyperlink" Target="https://www.gov.uk/data-protection" TargetMode="External"/><Relationship Id="rId16" Type="http://schemas.openxmlformats.org/officeDocument/2006/relationships/hyperlink" Target="https://onlinelibrary.wiley.com/doi/full/10.1111/1469-8676.12526" TargetMode="External"/><Relationship Id="rId17" Type="http://schemas.openxmlformats.org/officeDocument/2006/relationships/hyperlink" Target="https://digital.csic.es/bitstream/10261/172227/3/data governance framework 181115.pdf" TargetMode="External"/><Relationship Id="rId18" Type="http://schemas.openxmlformats.org/officeDocument/2006/relationships/hyperlink" Target="https://www.easaonline.org/downloads/support/EASA statement on data governance.pdf" TargetMode="External"/><Relationship Id="rId19" Type="http://schemas.openxmlformats.org/officeDocument/2006/relationships/hyperlink" Target="https://www.berghahnjournals.com/view/journals/aia/25/2/aia250205.xml" TargetMode="External"/><Relationship Id="rId20" Type="http://schemas.openxmlformats.org/officeDocument/2006/relationships/hyperlink" Target="http://somatosphere.net/2015/open-science.html/" TargetMode="External"/><Relationship Id="rId21" Type="http://schemas.openxmlformats.org/officeDocument/2006/relationships/hyperlink" Target="https://anthrosource.onlinelibrary.wiley.com/doi/10.1111/aman.13088" TargetMode="External"/><Relationship Id="rId22" Type="http://schemas.openxmlformats.org/officeDocument/2006/relationships/hyperlink" Target="https://digital.csic.es/bitstream/10261/172227/3/data governance framework 181115.pdf" TargetMode="External"/><Relationship Id="rId23" Type="http://schemas.openxmlformats.org/officeDocument/2006/relationships/hyperlink" Target="https://copar.umd.edu/" TargetMode="External"/><Relationship Id="rId24" Type="http://schemas.openxmlformats.org/officeDocument/2006/relationships/hyperlink" Target="https://www.journals.uchicago.edu/doi/10.1086/345687" TargetMode="External"/><Relationship Id="rId25" Type="http://schemas.openxmlformats.org/officeDocument/2006/relationships/hyperlink" Target="https://doi.org/10.17723/aarc-82-02-01" TargetMode="External"/><Relationship Id="rId26" Type="http://schemas.openxmlformats.org/officeDocument/2006/relationships/hyperlink" Target="https://www.data-archive.ac.uk/" TargetMode="External"/><Relationship Id="rId27" Type="http://schemas.openxmlformats.org/officeDocument/2006/relationships/hyperlink" Target="https://www.americananthro.org/LearnAndTeach/Content.aspx?ItemNumber=22869" TargetMode="External"/><Relationship Id="rId28" Type="http://schemas.openxmlformats.org/officeDocument/2006/relationships/hyperlink" Target="https://www.aas.asn.au/content.aspx?page_id=22&amp;club_id=143481&amp;module_id=395252" TargetMode="External"/><Relationship Id="rId29" Type="http://schemas.openxmlformats.org/officeDocument/2006/relationships/hyperlink" Target="https://fieldwork.weblogs.anu.edu.au/" TargetMode="External"/><Relationship Id="rId30" Type="http://schemas.openxmlformats.org/officeDocument/2006/relationships/hyperlink" Target="https://esrc.ukri.org/files/funding/guidance-for-applicants/esrc-framework-for-research-ethics-2010/" TargetMode="External"/><Relationship Id="rId31" Type="http://schemas.openxmlformats.org/officeDocument/2006/relationships/hyperlink" Target="https://ahrc.ukri.org/about/policies/codeofpractice/" TargetMode="External"/><Relationship Id="rId32" Type="http://schemas.openxmlformats.org/officeDocument/2006/relationships/hyperlink" Target="https://www.britsoc.co.uk/ethics" TargetMode="External"/><Relationship Id="rId33" Type="http://schemas.openxmlformats.org/officeDocument/2006/relationships/hyperlink" Target="https://www.rgs.org/in-the-field/in-the-field-grants/advice-and-resources/safe-and-ethical-research/" TargetMode="External"/><Relationship Id="rId34" Type="http://schemas.openxmlformats.org/officeDocument/2006/relationships/hyperlink" Target="https://www.basw.co.uk/about-basw/code-ethics" TargetMode="External"/><Relationship Id="rId35" Type="http://schemas.openxmlformats.org/officeDocument/2006/relationships/hyperlink" Target="https://mastersinsocialworkonline.org/resources/social-work-ethics/" TargetMode="External"/><Relationship Id="rId36" Type="http://schemas.openxmlformats.org/officeDocument/2006/relationships/hyperlink" Target="../../Jr321w/OneDrive%20-%20University%20of%20Glasgow/General/ASA/Ethics/Additional%20Resources/Association%20of%20Internet%20Researchers%20Ethical%20Guidance.pdf" TargetMode="External"/><Relationship Id="rId37" Type="http://schemas.openxmlformats.org/officeDocument/2006/relationships/numbering" Target="numbering.xml"/><Relationship Id="rId38" Type="http://schemas.openxmlformats.org/officeDocument/2006/relationships/fontTable" Target="fontTable.xml"/><Relationship Id="rId39" Type="http://schemas.openxmlformats.org/officeDocument/2006/relationships/settings" Target="settings.xml"/><Relationship Id="rId4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LibreOffice/7.2.2.2$Windows_X86_64 LibreOffice_project/02b2acce88a210515b4a5bb2e46cbfb63fe97d56</Application>
  <AppVersion>15.0000</AppVersion>
  <Pages>6</Pages>
  <Words>1920</Words>
  <Characters>12007</Characters>
  <CharactersWithSpaces>13903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2021-09-14T08:08:00Z</dcterms:created>
  <dc:creator>Kirsten Bell</dc:creator>
  <dc:description/>
  <dc:language>en-GB</dc:language>
  <cp:lastModifiedBy/>
  <dcterms:modified xsi:type="dcterms:W3CDTF">2021-11-01T15:18:55Z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